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2FE0C">
      <w:pPr>
        <w:spacing w:line="240" w:lineRule="atLeast"/>
        <w:ind w:firstLine="392" w:firstLineChars="200"/>
        <w:jc w:val="left"/>
        <w:rPr>
          <w:rFonts w:ascii="Times New Roman" w:hAnsi="Times New Roman" w:eastAsia="黑体" w:cs="Times New Roman"/>
          <w:color w:val="FF0000"/>
          <w:szCs w:val="21"/>
        </w:rPr>
      </w:pPr>
    </w:p>
    <w:p w14:paraId="6C2B0F92">
      <w:pPr>
        <w:spacing w:line="240" w:lineRule="atLeast"/>
        <w:ind w:firstLine="392" w:firstLineChars="200"/>
        <w:jc w:val="left"/>
        <w:rPr>
          <w:rFonts w:ascii="Times New Roman" w:hAnsi="Times New Roman" w:eastAsia="黑体" w:cs="Times New Roman"/>
          <w:color w:val="FF0000"/>
          <w:szCs w:val="21"/>
        </w:rPr>
      </w:pPr>
    </w:p>
    <w:p w14:paraId="2722DE1D">
      <w:pPr>
        <w:spacing w:line="240" w:lineRule="atLeast"/>
        <w:jc w:val="left"/>
        <w:rPr>
          <w:rFonts w:ascii="Times New Roman" w:hAnsi="Times New Roman" w:eastAsia="黑体" w:cs="Times New Roman"/>
          <w:color w:val="FF0000"/>
          <w:szCs w:val="21"/>
        </w:rPr>
      </w:pPr>
      <w:r>
        <w:rPr>
          <w:rFonts w:hint="eastAsia" w:ascii="Times New Roman" w:hAnsi="Times New Roman" w:eastAsia="黑体" w:cs="Times New Roman"/>
          <w:color w:val="FF0000"/>
          <w:szCs w:val="21"/>
        </w:rPr>
        <w:t>【页面设置】</w:t>
      </w:r>
    </w:p>
    <w:p w14:paraId="1E3AFFFB">
      <w:pPr>
        <w:pStyle w:val="2"/>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页边距：上3.8厘米，下4厘米，左右都是2.9厘米。</w:t>
      </w:r>
    </w:p>
    <w:p w14:paraId="34A6C246">
      <w:pPr>
        <w:pStyle w:val="2"/>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每页34行，每行44个字符。字体设置为5号字。</w:t>
      </w:r>
    </w:p>
    <w:p w14:paraId="0518D5FB">
      <w:pPr>
        <w:pStyle w:val="2"/>
        <w:ind w:left="392"/>
        <w:rPr>
          <w:sz w:val="21"/>
          <w:szCs w:val="21"/>
        </w:rPr>
      </w:pPr>
    </w:p>
    <w:p w14:paraId="2CDFA253">
      <w:pPr>
        <w:spacing w:line="240" w:lineRule="atLeast"/>
        <w:jc w:val="center"/>
        <w:rPr>
          <w:rFonts w:ascii="Times New Roman" w:hAnsi="Times New Roman" w:eastAsia="黑体" w:cs="Times New Roman"/>
          <w:color w:val="000000"/>
          <w:spacing w:val="-20"/>
          <w:sz w:val="44"/>
          <w:szCs w:val="44"/>
        </w:rPr>
      </w:pPr>
      <w:r>
        <w:rPr>
          <w:rFonts w:hint="eastAsia" w:ascii="Times New Roman" w:hAnsi="Times New Roman" w:eastAsia="黑体" w:cs="Times New Roman"/>
          <w:color w:val="000000"/>
          <w:spacing w:val="-20"/>
          <w:sz w:val="44"/>
          <w:szCs w:val="44"/>
        </w:rPr>
        <w:t>××××</w:t>
      </w:r>
      <w:r>
        <w:rPr>
          <w:rStyle w:val="29"/>
          <w:rFonts w:hint="eastAsia" w:ascii="Times New Roman" w:hAnsi="Times New Roman" w:eastAsia="黑体" w:cs="Times New Roman"/>
          <w:color w:val="000000"/>
          <w:spacing w:val="-20"/>
          <w:sz w:val="44"/>
          <w:szCs w:val="44"/>
        </w:rPr>
        <w:footnoteReference w:id="0" w:customMarkFollows="1"/>
        <w:t xml:space="preserve"> </w:t>
      </w:r>
    </w:p>
    <w:p w14:paraId="2890C48B">
      <w:pPr>
        <w:autoSpaceDE w:val="0"/>
        <w:autoSpaceDN w:val="0"/>
        <w:spacing w:line="240" w:lineRule="atLeast"/>
        <w:jc w:val="center"/>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（标题：黑体</w:t>
      </w:r>
      <w:r>
        <w:rPr>
          <w:rFonts w:hint="eastAsia" w:ascii="Times New Roman" w:hAnsi="Times New Roman" w:eastAsia="宋体" w:cs="Times New Roman"/>
          <w:color w:val="FF0000"/>
          <w:kern w:val="0"/>
          <w:szCs w:val="21"/>
          <w:lang w:val="en-US" w:eastAsia="zh-CN"/>
        </w:rPr>
        <w:t>小</w:t>
      </w:r>
      <w:r>
        <w:rPr>
          <w:rFonts w:hint="eastAsia" w:ascii="Times New Roman" w:hAnsi="Times New Roman" w:eastAsia="宋体" w:cs="Times New Roman"/>
          <w:color w:val="FF0000"/>
          <w:kern w:val="0"/>
          <w:szCs w:val="21"/>
        </w:rPr>
        <w:t>二号，居中。副标题用黑体</w:t>
      </w:r>
      <w:r>
        <w:rPr>
          <w:rFonts w:hint="eastAsia" w:ascii="Times New Roman" w:hAnsi="Times New Roman" w:eastAsia="宋体" w:cs="Times New Roman"/>
          <w:color w:val="FF0000"/>
          <w:kern w:val="0"/>
          <w:szCs w:val="21"/>
          <w:lang w:val="en-US" w:eastAsia="zh-CN"/>
        </w:rPr>
        <w:t>小</w:t>
      </w:r>
      <w:r>
        <w:rPr>
          <w:rFonts w:hint="eastAsia" w:ascii="Times New Roman" w:hAnsi="Times New Roman" w:eastAsia="宋体" w:cs="Times New Roman"/>
          <w:color w:val="FF0000"/>
          <w:kern w:val="0"/>
          <w:szCs w:val="21"/>
        </w:rPr>
        <w:t>三号，另起一行，居中）</w:t>
      </w:r>
    </w:p>
    <w:p w14:paraId="0B8D157D">
      <w:pPr>
        <w:pStyle w:val="2"/>
        <w:spacing w:line="240" w:lineRule="atLeast"/>
        <w:ind w:left="392"/>
        <w:rPr>
          <w:sz w:val="21"/>
          <w:szCs w:val="21"/>
        </w:rPr>
      </w:pPr>
    </w:p>
    <w:p w14:paraId="61591ACF">
      <w:pPr>
        <w:autoSpaceDE w:val="0"/>
        <w:autoSpaceDN w:val="0"/>
        <w:spacing w:line="240" w:lineRule="atLeast"/>
        <w:jc w:val="center"/>
        <w:rPr>
          <w:rFonts w:ascii="Times New Roman" w:hAnsi="Times New Roman" w:eastAsia="楷体" w:cs="Times New Roman"/>
          <w:color w:val="000000"/>
          <w:kern w:val="0"/>
          <w:sz w:val="28"/>
          <w:szCs w:val="21"/>
        </w:rPr>
      </w:pPr>
      <w:r>
        <w:rPr>
          <w:rFonts w:hint="eastAsia" w:ascii="Times New Roman" w:hAnsi="Times New Roman" w:eastAsia="楷体" w:cs="Times New Roman"/>
          <w:color w:val="000000"/>
          <w:kern w:val="0"/>
          <w:sz w:val="28"/>
          <w:szCs w:val="21"/>
        </w:rPr>
        <w:t xml:space="preserve">××× </w:t>
      </w:r>
      <w:r>
        <w:rPr>
          <w:rFonts w:ascii="Times New Roman" w:hAnsi="Times New Roman" w:eastAsia="楷体" w:cs="Times New Roman"/>
          <w:color w:val="000000"/>
          <w:kern w:val="0"/>
          <w:sz w:val="28"/>
          <w:szCs w:val="21"/>
        </w:rPr>
        <w:t xml:space="preserve"> </w:t>
      </w:r>
      <w:r>
        <w:rPr>
          <w:rFonts w:hint="eastAsia" w:ascii="Times New Roman" w:hAnsi="Times New Roman" w:eastAsia="楷体" w:cs="Times New Roman"/>
          <w:color w:val="000000"/>
          <w:kern w:val="0"/>
          <w:sz w:val="28"/>
          <w:szCs w:val="21"/>
        </w:rPr>
        <w:t>×××</w:t>
      </w:r>
    </w:p>
    <w:p w14:paraId="01D95E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bCs/>
          <w:color w:val="FF0000"/>
          <w:szCs w:val="21"/>
        </w:rPr>
      </w:pPr>
      <w:r>
        <w:rPr>
          <w:rFonts w:hint="eastAsia" w:ascii="Times New Roman" w:hAnsi="Times New Roman" w:eastAsia="宋体" w:cs="Times New Roman"/>
          <w:bCs/>
          <w:color w:val="FF0000"/>
          <w:szCs w:val="21"/>
        </w:rPr>
        <w:t>（作者：楷体四号，每位作者中间空两格，居中）</w:t>
      </w:r>
    </w:p>
    <w:p w14:paraId="542F1AB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p>
    <w:p w14:paraId="33D785F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eastAsia="黑体"/>
          <w:color w:val="1D41D5"/>
          <w:sz w:val="21"/>
          <w:szCs w:val="21"/>
          <w:lang w:val="en-US" w:eastAsia="zh-CN"/>
        </w:rPr>
      </w:pPr>
      <w:r>
        <w:rPr>
          <w:rFonts w:hint="eastAsia" w:eastAsia="黑体"/>
          <w:color w:val="1D41D5"/>
          <w:sz w:val="21"/>
          <w:szCs w:val="21"/>
          <w:lang w:val="en-US" w:eastAsia="zh-CN"/>
        </w:rPr>
        <w:t>例如：</w:t>
      </w:r>
    </w:p>
    <w:p w14:paraId="3217035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黑体"/>
          <w:color w:val="000000"/>
          <w:sz w:val="36"/>
          <w:szCs w:val="36"/>
        </w:rPr>
      </w:pPr>
      <w:r>
        <w:rPr>
          <w:rFonts w:hint="eastAsia" w:eastAsia="黑体"/>
          <w:color w:val="000000"/>
          <w:sz w:val="36"/>
          <w:szCs w:val="36"/>
        </w:rPr>
        <w:t>新型农村集体经济何以有效运行</w:t>
      </w:r>
    </w:p>
    <w:p w14:paraId="3DD32A8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cs="Courier New"/>
          <w:kern w:val="0"/>
          <w:sz w:val="32"/>
          <w:szCs w:val="32"/>
        </w:rPr>
      </w:pPr>
      <w:r>
        <w:rPr>
          <w:rFonts w:hint="eastAsia" w:ascii="黑体" w:hAnsi="黑体" w:eastAsia="黑体" w:cs="Courier New"/>
          <w:kern w:val="0"/>
          <w:sz w:val="30"/>
          <w:szCs w:val="30"/>
        </w:rPr>
        <w:t>——基于三种实践模式的探索性分析</w:t>
      </w:r>
    </w:p>
    <w:p w14:paraId="03B05AE9">
      <w:pPr>
        <w:pStyle w:val="2"/>
        <w:spacing w:line="240" w:lineRule="atLeast"/>
        <w:ind w:leftChars="0" w:firstLine="0"/>
        <w:rPr>
          <w:sz w:val="21"/>
          <w:szCs w:val="21"/>
        </w:rPr>
      </w:pPr>
    </w:p>
    <w:p w14:paraId="5A166565">
      <w:pPr>
        <w:spacing w:line="240" w:lineRule="atLeast"/>
        <w:ind w:firstLine="392" w:firstLineChars="200"/>
        <w:rPr>
          <w:rFonts w:hint="eastAsia" w:eastAsia="楷体" w:cs="楷体"/>
          <w:color w:val="000000"/>
          <w:szCs w:val="21"/>
        </w:rPr>
      </w:pPr>
      <w:r>
        <w:rPr>
          <w:rFonts w:hint="eastAsia" w:eastAsia="黑体"/>
          <w:color w:val="000000"/>
          <w:szCs w:val="21"/>
        </w:rPr>
        <w:t>摘要：</w:t>
      </w:r>
      <w:r>
        <w:rPr>
          <w:rFonts w:hint="eastAsia" w:eastAsia="楷体" w:cs="楷体"/>
          <w:color w:val="000000"/>
          <w:szCs w:val="21"/>
        </w:rPr>
        <w:t>新型农村集体经济以比较明晰的组织架构、规范的运营机制、公平的分配模式等优势赋能乡村发展，成为巩固拓展脱贫攻坚成果与推动乡村全面振兴的重要助力。本文以嵌入性理论为基础，从关系嵌入、规则嵌入、价值嵌入三个维度出发，</w:t>
      </w:r>
      <w:r>
        <w:rPr>
          <w:rFonts w:hint="eastAsia" w:eastAsia="楷体" w:cs="楷体"/>
          <w:color w:val="000000"/>
          <w:szCs w:val="21"/>
          <w:lang w:val="en-US" w:eastAsia="zh-CN"/>
        </w:rPr>
        <w:t>构</w:t>
      </w:r>
      <w:r>
        <w:rPr>
          <w:rFonts w:hint="eastAsia" w:eastAsia="楷体" w:cs="楷体"/>
          <w:color w:val="000000"/>
          <w:szCs w:val="21"/>
        </w:rPr>
        <w:t>建“组织结构－运营机制－分配模式”的分析框架，选取广东省荔枝圩村企业化运作的合股联营模式、贵州省塘约村党组织领办的村社合一模式、浙江省永安村政府主导下的强村公司模式为研究对象，运用多案例分析方法，探讨新型农村集体经济有效运行的逻辑。</w:t>
      </w:r>
    </w:p>
    <w:p w14:paraId="5EC6AE57">
      <w:pPr>
        <w:spacing w:line="240" w:lineRule="atLeast"/>
        <w:ind w:firstLine="392" w:firstLineChars="200"/>
        <w:rPr>
          <w:rFonts w:ascii="Times New Roman" w:hAnsi="Times New Roman" w:eastAsia="宋体" w:cs="Times New Roman"/>
          <w:color w:val="FF0000"/>
          <w:szCs w:val="21"/>
        </w:rPr>
      </w:pPr>
      <w:r>
        <w:rPr>
          <w:rFonts w:ascii="黑体" w:hAnsi="宋体" w:eastAsia="黑体" w:cs="Times New Roman"/>
          <w:bCs/>
          <w:color w:val="000000"/>
          <w:szCs w:val="21"/>
        </w:rPr>
        <w:t>关键词</w:t>
      </w:r>
      <w:r>
        <w:rPr>
          <w:rFonts w:hint="eastAsia" w:ascii="黑体" w:hAnsi="宋体" w:eastAsia="黑体" w:cs="Times New Roman"/>
          <w:bCs/>
          <w:color w:val="000000"/>
          <w:szCs w:val="21"/>
        </w:rPr>
        <w:t>：</w:t>
      </w:r>
      <w:r>
        <w:rPr>
          <w:rFonts w:hint="eastAsia" w:ascii="楷体" w:hAnsi="楷体" w:eastAsia="楷体" w:cs="楷体"/>
          <w:szCs w:val="21"/>
        </w:rPr>
        <w:t>新型农村集体经济</w:t>
      </w:r>
      <w:r>
        <w:rPr>
          <w:rFonts w:hint="eastAsia" w:eastAsia="楷体"/>
          <w:szCs w:val="21"/>
        </w:rPr>
        <w:t xml:space="preserve"> </w:t>
      </w:r>
      <w:r>
        <w:rPr>
          <w:rFonts w:eastAsia="楷体"/>
          <w:szCs w:val="21"/>
        </w:rPr>
        <w:t xml:space="preserve"> </w:t>
      </w:r>
      <w:r>
        <w:rPr>
          <w:rFonts w:hint="eastAsia" w:ascii="楷体" w:hAnsi="楷体" w:eastAsia="楷体" w:cs="楷体"/>
          <w:szCs w:val="21"/>
        </w:rPr>
        <w:t>合股联营</w:t>
      </w:r>
      <w:r>
        <w:rPr>
          <w:rFonts w:hint="eastAsia" w:eastAsia="楷体"/>
          <w:szCs w:val="21"/>
        </w:rPr>
        <w:t xml:space="preserve"> </w:t>
      </w:r>
      <w:r>
        <w:rPr>
          <w:rFonts w:eastAsia="楷体"/>
          <w:szCs w:val="21"/>
        </w:rPr>
        <w:t xml:space="preserve"> </w:t>
      </w:r>
      <w:r>
        <w:rPr>
          <w:rFonts w:hint="eastAsia" w:ascii="楷体" w:hAnsi="楷体" w:eastAsia="楷体" w:cs="楷体"/>
          <w:szCs w:val="21"/>
        </w:rPr>
        <w:t>强村公司</w:t>
      </w:r>
      <w:r>
        <w:rPr>
          <w:rFonts w:hint="eastAsia" w:eastAsia="楷体"/>
          <w:szCs w:val="21"/>
        </w:rPr>
        <w:t xml:space="preserve"> </w:t>
      </w:r>
      <w:r>
        <w:rPr>
          <w:rFonts w:eastAsia="楷体"/>
          <w:szCs w:val="21"/>
        </w:rPr>
        <w:t xml:space="preserve"> </w:t>
      </w:r>
      <w:r>
        <w:rPr>
          <w:rFonts w:hint="eastAsia" w:ascii="楷体" w:hAnsi="楷体" w:eastAsia="楷体" w:cs="楷体"/>
          <w:szCs w:val="21"/>
        </w:rPr>
        <w:t>乡村振兴</w:t>
      </w:r>
      <w:r>
        <w:rPr>
          <w:rFonts w:hint="eastAsia" w:eastAsia="楷体"/>
          <w:szCs w:val="21"/>
        </w:rPr>
        <w:t xml:space="preserve"> </w:t>
      </w:r>
      <w:r>
        <w:rPr>
          <w:rFonts w:eastAsia="楷体"/>
          <w:szCs w:val="21"/>
        </w:rPr>
        <w:t xml:space="preserve"> </w:t>
      </w:r>
      <w:r>
        <w:rPr>
          <w:rFonts w:hint="eastAsia" w:ascii="楷体" w:hAnsi="楷体" w:eastAsia="楷体" w:cs="楷体"/>
          <w:szCs w:val="21"/>
        </w:rPr>
        <w:t>共同富裕</w:t>
      </w:r>
    </w:p>
    <w:p w14:paraId="69301615">
      <w:pPr>
        <w:spacing w:line="240" w:lineRule="atLeast"/>
        <w:ind w:firstLine="392" w:firstLineChars="200"/>
        <w:rPr>
          <w:rFonts w:ascii="Times New Roman" w:hAnsi="Times New Roman" w:cs="Times New Roman"/>
          <w:szCs w:val="21"/>
        </w:rPr>
      </w:pPr>
      <w:r>
        <w:rPr>
          <w:rFonts w:hint="eastAsia" w:ascii="黑体" w:hAnsi="黑体" w:eastAsia="黑体"/>
          <w:szCs w:val="21"/>
        </w:rPr>
        <w:t>中图分类号：</w:t>
      </w:r>
      <w:r>
        <w:rPr>
          <w:rFonts w:hint="default" w:ascii="Times New Roman" w:hAnsi="Times New Roman" w:eastAsia="黑体" w:cs="Times New Roman"/>
          <w:szCs w:val="21"/>
        </w:rPr>
        <w:t>F321.42；F327</w:t>
      </w:r>
      <w:r>
        <w:rPr>
          <w:rFonts w:ascii="Times New Roman" w:hAnsi="Times New Roman" w:eastAsia="楷体"/>
          <w:szCs w:val="21"/>
        </w:rPr>
        <w:t xml:space="preserve">  </w:t>
      </w:r>
      <w:r>
        <w:rPr>
          <w:szCs w:val="21"/>
        </w:rPr>
        <w:t xml:space="preserve">  </w:t>
      </w:r>
      <w:r>
        <w:rPr>
          <w:rFonts w:hint="eastAsia" w:ascii="黑体" w:hAnsi="黑体" w:eastAsia="黑体"/>
          <w:szCs w:val="21"/>
        </w:rPr>
        <w:t>文献标识码：</w:t>
      </w:r>
      <w:r>
        <w:rPr>
          <w:rFonts w:ascii="Times New Roman" w:hAnsi="Times New Roman" w:cs="Times New Roman"/>
          <w:szCs w:val="21"/>
        </w:rPr>
        <w:t>A</w:t>
      </w:r>
    </w:p>
    <w:p w14:paraId="11AA31B8">
      <w:pPr>
        <w:pStyle w:val="2"/>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（“摘要：”“关键词：”“中图分类号：”“文献标识码：”为黑体五号，具体内容中，中文为楷体五号，英文为Times</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New</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Roman五号）</w:t>
      </w:r>
    </w:p>
    <w:p w14:paraId="26242A94">
      <w:pPr>
        <w:pStyle w:val="2"/>
        <w:ind w:leftChars="0" w:firstLine="392" w:firstLineChars="200"/>
        <w:rPr>
          <w:rFonts w:ascii="Times New Roman" w:hAnsi="Times New Roman" w:eastAsia="宋体"/>
          <w:color w:val="FF0000"/>
          <w:sz w:val="21"/>
          <w:szCs w:val="21"/>
        </w:rPr>
      </w:pPr>
    </w:p>
    <w:p w14:paraId="4E219DFA">
      <w:pPr>
        <w:spacing w:line="480" w:lineRule="auto"/>
        <w:jc w:val="center"/>
        <w:rPr>
          <w:rFonts w:ascii="黑体" w:hAnsi="黑体" w:eastAsia="黑体"/>
          <w:sz w:val="24"/>
          <w:szCs w:val="32"/>
        </w:rPr>
      </w:pPr>
      <w:r>
        <w:rPr>
          <w:rFonts w:ascii="黑体" w:hAnsi="黑体" w:eastAsia="黑体"/>
          <w:sz w:val="24"/>
          <w:szCs w:val="32"/>
        </w:rPr>
        <w:t>一</w:t>
      </w:r>
      <w:r>
        <w:rPr>
          <w:rFonts w:hint="eastAsia" w:ascii="黑体" w:hAnsi="黑体" w:eastAsia="黑体"/>
          <w:sz w:val="24"/>
          <w:szCs w:val="32"/>
        </w:rPr>
        <w:t>、引言</w:t>
      </w:r>
      <w:bookmarkStart w:id="0" w:name="_Hlk142463165"/>
    </w:p>
    <w:bookmarkEnd w:id="0"/>
    <w:p w14:paraId="371F6DAE">
      <w:pPr>
        <w:autoSpaceDE w:val="0"/>
        <w:autoSpaceDN w:val="0"/>
        <w:spacing w:line="240" w:lineRule="atLeast"/>
        <w:ind w:firstLine="392" w:firstLineChars="200"/>
        <w:rPr>
          <w:rFonts w:ascii="Times New Roman" w:hAnsi="Times New Roman" w:eastAsia="宋体" w:cs="Times New Roman"/>
          <w:color w:val="000000"/>
          <w:szCs w:val="22"/>
        </w:rPr>
      </w:pPr>
      <w:r>
        <w:rPr>
          <w:rFonts w:hint="eastAsia" w:ascii="Times New Roman" w:hAnsi="Times New Roman" w:eastAsia="宋体" w:cs="Times New Roman"/>
          <w:color w:val="000000"/>
          <w:szCs w:val="22"/>
        </w:rPr>
        <w:t>改革开放以来，中国经济迅猛增长，创造了举世瞩目的“增长奇迹”。其中，劳动力要素的灵活配置，尤其是农村劳动力要素在城乡之间的优化配置，对中国经济增长的贡献不可忽视（伍山林，2</w:t>
      </w:r>
      <w:r>
        <w:rPr>
          <w:rFonts w:ascii="Times New Roman" w:hAnsi="Times New Roman" w:eastAsia="宋体" w:cs="Times New Roman"/>
          <w:color w:val="000000"/>
          <w:szCs w:val="22"/>
        </w:rPr>
        <w:t>016</w:t>
      </w:r>
      <w:r>
        <w:rPr>
          <w:rFonts w:hint="eastAsia" w:ascii="Times New Roman" w:hAnsi="Times New Roman" w:eastAsia="宋体" w:cs="Times New Roman"/>
          <w:color w:val="000000"/>
          <w:szCs w:val="22"/>
        </w:rPr>
        <w:t>）。</w:t>
      </w:r>
      <w:r>
        <w:rPr>
          <w:rFonts w:hint="eastAsia" w:ascii="Times New Roman" w:hAnsi="Times New Roman" w:eastAsia="宋体" w:cs="Times New Roman"/>
          <w:color w:val="FF0000"/>
          <w:szCs w:val="22"/>
        </w:rPr>
        <w:t>（正文部分，中文为宋体五号，英文和数字为Times New Roman五号，行距为最小值1</w:t>
      </w:r>
      <w:r>
        <w:rPr>
          <w:rFonts w:ascii="Times New Roman" w:hAnsi="Times New Roman" w:eastAsia="宋体" w:cs="Times New Roman"/>
          <w:color w:val="FF0000"/>
          <w:szCs w:val="22"/>
        </w:rPr>
        <w:t>2</w:t>
      </w:r>
      <w:r>
        <w:rPr>
          <w:rFonts w:hint="eastAsia" w:ascii="Times New Roman" w:hAnsi="Times New Roman" w:eastAsia="宋体" w:cs="Times New Roman"/>
          <w:color w:val="FF0000"/>
          <w:szCs w:val="22"/>
        </w:rPr>
        <w:t>磅）</w:t>
      </w:r>
    </w:p>
    <w:p w14:paraId="13097404">
      <w:pPr>
        <w:pStyle w:val="2"/>
        <w:spacing w:line="240" w:lineRule="atLeast"/>
        <w:ind w:leftChars="0" w:firstLine="0"/>
        <w:rPr>
          <w:sz w:val="21"/>
          <w:szCs w:val="21"/>
        </w:rPr>
      </w:pPr>
    </w:p>
    <w:p w14:paraId="0264C242">
      <w:pPr>
        <w:pStyle w:val="2"/>
        <w:spacing w:line="240" w:lineRule="atLeast"/>
        <w:ind w:leftChars="0" w:firstLine="0"/>
        <w:rPr>
          <w:sz w:val="21"/>
          <w:szCs w:val="21"/>
        </w:rPr>
      </w:pPr>
    </w:p>
    <w:p w14:paraId="5658A03D">
      <w:pPr>
        <w:pStyle w:val="2"/>
        <w:spacing w:line="240" w:lineRule="atLeast"/>
        <w:ind w:leftChars="0" w:firstLine="0"/>
        <w:rPr>
          <w:rFonts w:ascii="黑体" w:hAnsi="黑体" w:eastAsia="黑体"/>
          <w:color w:val="FF0000"/>
          <w:sz w:val="21"/>
          <w:szCs w:val="21"/>
        </w:rPr>
      </w:pPr>
      <w:r>
        <w:rPr>
          <w:rFonts w:hint="eastAsia" w:ascii="黑体" w:hAnsi="黑体" w:eastAsia="黑体"/>
          <w:color w:val="FF0000"/>
          <w:sz w:val="21"/>
          <w:szCs w:val="21"/>
        </w:rPr>
        <w:t>【正文中文献引用范式】</w:t>
      </w:r>
    </w:p>
    <w:p w14:paraId="1FDC416C">
      <w:pPr>
        <w:pStyle w:val="2"/>
        <w:spacing w:line="240" w:lineRule="atLeast"/>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中文文献：①一个作者，“张××（20</w:t>
      </w:r>
      <w:r>
        <w:rPr>
          <w:rFonts w:ascii="Times New Roman" w:hAnsi="Times New Roman" w:eastAsia="宋体"/>
          <w:color w:val="FF0000"/>
          <w:sz w:val="21"/>
          <w:szCs w:val="21"/>
        </w:rPr>
        <w:t>22</w:t>
      </w:r>
      <w:r>
        <w:rPr>
          <w:rFonts w:hint="eastAsia" w:ascii="Times New Roman" w:hAnsi="Times New Roman" w:eastAsia="宋体"/>
          <w:color w:val="FF0000"/>
          <w:sz w:val="21"/>
          <w:szCs w:val="21"/>
        </w:rPr>
        <w:t>）”或“（张××，20</w:t>
      </w:r>
      <w:r>
        <w:rPr>
          <w:rFonts w:ascii="Times New Roman" w:hAnsi="Times New Roman" w:eastAsia="宋体"/>
          <w:color w:val="FF0000"/>
          <w:sz w:val="21"/>
          <w:szCs w:val="21"/>
        </w:rPr>
        <w:t>22</w:t>
      </w:r>
      <w:r>
        <w:rPr>
          <w:rFonts w:hint="eastAsia" w:ascii="Times New Roman" w:hAnsi="Times New Roman" w:eastAsia="宋体"/>
          <w:color w:val="FF0000"/>
          <w:sz w:val="21"/>
          <w:szCs w:val="21"/>
        </w:rPr>
        <w:t>）”；②两个作者，“张××和王××（2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）”或“（张××和王××，2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）”；③三个作者及以上，“张××等（2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）”或“（张××等，2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w:t>
      </w:r>
    </w:p>
    <w:p w14:paraId="336E8647">
      <w:pPr>
        <w:pStyle w:val="2"/>
        <w:spacing w:line="240" w:lineRule="atLeast"/>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英文文献：①一个作者，“</w:t>
      </w:r>
      <w:r>
        <w:rPr>
          <w:rFonts w:ascii="Times New Roman" w:hAnsi="Times New Roman" w:eastAsia="宋体"/>
          <w:color w:val="FF0000"/>
          <w:sz w:val="21"/>
          <w:szCs w:val="21"/>
        </w:rPr>
        <w:t>Chetty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）”或“（</w:t>
      </w:r>
      <w:r>
        <w:rPr>
          <w:rFonts w:ascii="Times New Roman" w:hAnsi="Times New Roman" w:eastAsia="宋体"/>
          <w:color w:val="FF0000"/>
          <w:sz w:val="21"/>
          <w:szCs w:val="21"/>
        </w:rPr>
        <w:t>Chetty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）”；②两个作者，“</w:t>
      </w:r>
      <w:r>
        <w:rPr>
          <w:rFonts w:ascii="Times New Roman" w:hAnsi="Times New Roman" w:eastAsia="宋体"/>
          <w:color w:val="FF0000"/>
          <w:sz w:val="21"/>
          <w:szCs w:val="21"/>
        </w:rPr>
        <w:t xml:space="preserve">Chetty </w:t>
      </w:r>
      <w:r>
        <w:rPr>
          <w:rFonts w:hint="eastAsia" w:ascii="Times New Roman" w:hAnsi="Times New Roman" w:eastAsia="宋体"/>
          <w:color w:val="FF0000"/>
          <w:sz w:val="21"/>
          <w:szCs w:val="21"/>
        </w:rPr>
        <w:t>and</w:t>
      </w:r>
      <w:r>
        <w:rPr>
          <w:rFonts w:ascii="Times New Roman" w:hAnsi="Times New Roman" w:eastAsia="宋体"/>
          <w:color w:val="FF0000"/>
          <w:sz w:val="21"/>
          <w:szCs w:val="21"/>
        </w:rPr>
        <w:t xml:space="preserve"> Looney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）”或“（</w:t>
      </w:r>
      <w:r>
        <w:rPr>
          <w:rFonts w:ascii="Times New Roman" w:hAnsi="Times New Roman" w:eastAsia="宋体"/>
          <w:color w:val="FF0000"/>
          <w:sz w:val="21"/>
          <w:szCs w:val="21"/>
        </w:rPr>
        <w:t xml:space="preserve">Chetty </w:t>
      </w:r>
      <w:r>
        <w:rPr>
          <w:rFonts w:hint="eastAsia" w:ascii="Times New Roman" w:hAnsi="Times New Roman" w:eastAsia="宋体"/>
          <w:color w:val="FF0000"/>
          <w:sz w:val="21"/>
          <w:szCs w:val="21"/>
        </w:rPr>
        <w:t>and</w:t>
      </w:r>
      <w:r>
        <w:rPr>
          <w:rFonts w:ascii="Times New Roman" w:hAnsi="Times New Roman" w:eastAsia="宋体"/>
          <w:color w:val="FF0000"/>
          <w:sz w:val="21"/>
          <w:szCs w:val="21"/>
        </w:rPr>
        <w:t xml:space="preserve"> Looney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）”；③三个作者及以上，“</w:t>
      </w:r>
      <w:r>
        <w:rPr>
          <w:rFonts w:ascii="Times New Roman" w:hAnsi="Times New Roman" w:eastAsia="宋体"/>
          <w:color w:val="FF0000"/>
          <w:sz w:val="21"/>
          <w:szCs w:val="21"/>
        </w:rPr>
        <w:t>Chetty et al</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）”或“（</w:t>
      </w:r>
      <w:r>
        <w:rPr>
          <w:rFonts w:ascii="Times New Roman" w:hAnsi="Times New Roman" w:eastAsia="宋体"/>
          <w:color w:val="FF0000"/>
          <w:sz w:val="21"/>
          <w:szCs w:val="21"/>
        </w:rPr>
        <w:t>Chetty et al</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w:t>
      </w:r>
    </w:p>
    <w:p w14:paraId="3733590B">
      <w:pPr>
        <w:pStyle w:val="2"/>
        <w:spacing w:line="240" w:lineRule="atLeast"/>
        <w:ind w:left="392"/>
        <w:rPr>
          <w:sz w:val="21"/>
          <w:szCs w:val="21"/>
        </w:rPr>
      </w:pPr>
    </w:p>
    <w:p w14:paraId="116C77EB">
      <w:pPr>
        <w:pStyle w:val="2"/>
        <w:spacing w:line="240" w:lineRule="atLeast"/>
        <w:ind w:leftChars="0" w:firstLine="0"/>
        <w:rPr>
          <w:rFonts w:hint="eastAsia" w:ascii="黑体" w:hAnsi="黑体" w:eastAsia="黑体"/>
          <w:color w:val="1D41D5"/>
          <w:sz w:val="21"/>
          <w:szCs w:val="21"/>
        </w:rPr>
      </w:pPr>
      <w:r>
        <w:rPr>
          <w:rFonts w:hint="eastAsia" w:ascii="黑体" w:hAnsi="黑体" w:eastAsia="黑体"/>
          <w:color w:val="1D41D5"/>
          <w:sz w:val="21"/>
          <w:szCs w:val="21"/>
        </w:rPr>
        <w:t>【正文中</w:t>
      </w:r>
      <w:r>
        <w:rPr>
          <w:rFonts w:hint="eastAsia" w:ascii="黑体" w:hAnsi="黑体" w:eastAsia="黑体"/>
          <w:color w:val="1D41D5"/>
          <w:sz w:val="21"/>
          <w:szCs w:val="21"/>
          <w:lang w:val="en-US" w:eastAsia="zh-CN"/>
        </w:rPr>
        <w:t>脚注的</w:t>
      </w:r>
      <w:r>
        <w:rPr>
          <w:rFonts w:hint="eastAsia" w:ascii="黑体" w:hAnsi="黑体" w:eastAsia="黑体"/>
          <w:color w:val="1D41D5"/>
          <w:sz w:val="21"/>
          <w:szCs w:val="21"/>
        </w:rPr>
        <w:t>范式】</w:t>
      </w:r>
    </w:p>
    <w:p w14:paraId="504C4E7D">
      <w:pPr>
        <w:pStyle w:val="2"/>
        <w:spacing w:line="240" w:lineRule="atLeast"/>
        <w:ind w:leftChars="0" w:firstLine="392" w:firstLineChars="200"/>
        <w:rPr>
          <w:rFonts w:ascii="Times New Roman" w:hAnsi="Times New Roman" w:eastAsia="宋体"/>
          <w:sz w:val="21"/>
          <w:szCs w:val="21"/>
        </w:rPr>
      </w:pPr>
      <w:r>
        <w:rPr>
          <w:rFonts w:hint="eastAsia" w:ascii="Times New Roman" w:hAnsi="Times New Roman" w:eastAsia="宋体" w:cs="Times New Roman"/>
          <w:bCs/>
          <w:color w:val="FF0000"/>
          <w:sz w:val="21"/>
          <w:szCs w:val="21"/>
        </w:rPr>
        <w:t>脚注中文为宋体，英文和数字为</w:t>
      </w:r>
      <w:r>
        <w:rPr>
          <w:rFonts w:ascii="Times New Roman" w:hAnsi="Times New Roman" w:eastAsia="宋体" w:cs="Times New Roman"/>
          <w:bCs/>
          <w:color w:val="FF0000"/>
          <w:sz w:val="21"/>
          <w:szCs w:val="21"/>
        </w:rPr>
        <w:t>Times New Roman</w:t>
      </w:r>
      <w:r>
        <w:rPr>
          <w:rFonts w:hint="eastAsia" w:ascii="Times New Roman" w:hAnsi="Times New Roman" w:eastAsia="宋体" w:cs="Times New Roman"/>
          <w:bCs/>
          <w:color w:val="FF0000"/>
          <w:sz w:val="21"/>
          <w:szCs w:val="21"/>
        </w:rPr>
        <w:t>，字号为小五，行距为最小值1</w:t>
      </w:r>
      <w:r>
        <w:rPr>
          <w:rFonts w:ascii="Times New Roman" w:hAnsi="Times New Roman" w:eastAsia="宋体" w:cs="Times New Roman"/>
          <w:bCs/>
          <w:color w:val="FF0000"/>
          <w:sz w:val="21"/>
          <w:szCs w:val="21"/>
        </w:rPr>
        <w:t>2</w:t>
      </w:r>
      <w:r>
        <w:rPr>
          <w:rFonts w:hint="eastAsia" w:ascii="Times New Roman" w:hAnsi="Times New Roman" w:eastAsia="宋体" w:cs="Times New Roman"/>
          <w:bCs/>
          <w:color w:val="FF0000"/>
          <w:sz w:val="21"/>
          <w:szCs w:val="21"/>
        </w:rPr>
        <w:t>磅。每页重新编号。</w:t>
      </w:r>
    </w:p>
    <w:p w14:paraId="6915A896">
      <w:pPr>
        <w:pStyle w:val="2"/>
        <w:spacing w:line="240" w:lineRule="atLeast"/>
        <w:ind w:leftChars="0" w:firstLine="0"/>
        <w:rPr>
          <w:rFonts w:hint="eastAsia" w:ascii="黑体" w:hAnsi="黑体" w:eastAsia="黑体"/>
          <w:color w:val="1D41D5"/>
          <w:sz w:val="21"/>
          <w:szCs w:val="21"/>
        </w:rPr>
      </w:pPr>
    </w:p>
    <w:p w14:paraId="1E588285">
      <w:pPr>
        <w:pStyle w:val="2"/>
        <w:spacing w:line="240" w:lineRule="atLeast"/>
        <w:ind w:leftChars="0" w:firstLine="392" w:firstLineChars="200"/>
        <w:rPr>
          <w:rFonts w:hint="default" w:ascii="Times New Roman" w:hAnsi="Times New Roman" w:eastAsia="宋体"/>
          <w:b/>
          <w:bCs/>
          <w:color w:val="0000FF"/>
          <w:sz w:val="21"/>
          <w:szCs w:val="21"/>
          <w:lang w:val="en-US" w:eastAsia="zh-CN"/>
        </w:rPr>
      </w:pPr>
      <w:r>
        <w:rPr>
          <w:rFonts w:hint="eastAsia" w:ascii="Times New Roman" w:hAnsi="Times New Roman" w:eastAsia="宋体"/>
          <w:b/>
          <w:bCs/>
          <w:color w:val="0000FF"/>
          <w:sz w:val="21"/>
          <w:szCs w:val="21"/>
          <w:lang w:val="en-US" w:eastAsia="zh-CN"/>
        </w:rPr>
        <w:t>示例1：（关于网络资料源的脚注）</w:t>
      </w:r>
    </w:p>
    <w:p w14:paraId="79128FBC">
      <w:pPr>
        <w:pStyle w:val="2"/>
        <w:spacing w:line="240" w:lineRule="atLeast"/>
        <w:ind w:leftChars="0" w:firstLine="392" w:firstLineChars="200"/>
        <w:rPr>
          <w:rFonts w:hint="eastAsia" w:ascii="Times New Roman" w:hAnsi="Times New Roman" w:eastAsia="宋体"/>
          <w:sz w:val="21"/>
          <w:szCs w:val="21"/>
        </w:rPr>
      </w:pPr>
      <w:r>
        <w:rPr>
          <w:rFonts w:hint="eastAsia" w:ascii="Times New Roman" w:hAnsi="Times New Roman" w:eastAsia="宋体"/>
          <w:sz w:val="21"/>
          <w:szCs w:val="21"/>
        </w:rPr>
        <w:t>党的二十大报告指出：“强化就业优先政策，健全就业促进机制，促进高质量充分就业。”</w:t>
      </w:r>
      <w:r>
        <w:rPr>
          <w:rStyle w:val="29"/>
          <w:rFonts w:ascii="Times New Roman" w:hAnsi="Times New Roman"/>
          <w:color w:val="FF0000"/>
          <w:sz w:val="21"/>
          <w:szCs w:val="21"/>
        </w:rPr>
        <w:footnoteReference w:id="1"/>
      </w:r>
      <w:r>
        <w:rPr>
          <w:rFonts w:hint="eastAsia" w:ascii="Times New Roman" w:hAnsi="Times New Roman" w:eastAsia="宋体"/>
          <w:sz w:val="21"/>
          <w:szCs w:val="21"/>
        </w:rPr>
        <w:t>……</w:t>
      </w:r>
      <w:r>
        <w:rPr>
          <w:rFonts w:hint="eastAsia" w:ascii="Times New Roman" w:hAnsi="Times New Roman" w:eastAsia="宋体" w:cs="Times New Roman"/>
          <w:color w:val="000000"/>
          <w:sz w:val="21"/>
          <w:szCs w:val="21"/>
        </w:rPr>
        <w:t>国家统计局数据显示，本地农民工占比已从</w:t>
      </w:r>
      <w:r>
        <w:rPr>
          <w:rFonts w:ascii="Times New Roman" w:hAnsi="Times New Roman" w:eastAsia="宋体" w:cs="Times New Roman"/>
          <w:color w:val="000000"/>
          <w:sz w:val="21"/>
          <w:szCs w:val="21"/>
        </w:rPr>
        <w:t>2009</w:t>
      </w:r>
      <w:r>
        <w:rPr>
          <w:rFonts w:hint="eastAsia" w:ascii="Times New Roman" w:hAnsi="Times New Roman" w:eastAsia="宋体" w:cs="Times New Roman"/>
          <w:color w:val="000000"/>
          <w:sz w:val="21"/>
          <w:szCs w:val="21"/>
        </w:rPr>
        <w:t>年的</w:t>
      </w:r>
      <w:r>
        <w:rPr>
          <w:rFonts w:ascii="Times New Roman" w:hAnsi="Times New Roman" w:eastAsia="宋体" w:cs="Times New Roman"/>
          <w:color w:val="000000"/>
          <w:sz w:val="21"/>
          <w:szCs w:val="21"/>
        </w:rPr>
        <w:t>36.75%</w:t>
      </w:r>
      <w:r>
        <w:rPr>
          <w:rFonts w:hint="eastAsia" w:ascii="Times New Roman" w:hAnsi="Times New Roman" w:eastAsia="宋体" w:cs="Times New Roman"/>
          <w:color w:val="000000"/>
          <w:sz w:val="21"/>
          <w:szCs w:val="21"/>
        </w:rPr>
        <w:t>增加到</w:t>
      </w:r>
      <w:r>
        <w:rPr>
          <w:rFonts w:ascii="Times New Roman" w:hAnsi="Times New Roman" w:eastAsia="宋体" w:cs="Times New Roman"/>
          <w:color w:val="000000"/>
          <w:sz w:val="21"/>
          <w:szCs w:val="21"/>
        </w:rPr>
        <w:t>2021</w:t>
      </w:r>
      <w:r>
        <w:rPr>
          <w:rFonts w:hint="eastAsia" w:ascii="Times New Roman" w:hAnsi="Times New Roman" w:eastAsia="宋体" w:cs="Times New Roman"/>
          <w:color w:val="000000"/>
          <w:sz w:val="21"/>
          <w:szCs w:val="21"/>
        </w:rPr>
        <w:t>年的</w:t>
      </w:r>
      <w:r>
        <w:rPr>
          <w:rFonts w:ascii="Times New Roman" w:hAnsi="Times New Roman" w:eastAsia="宋体" w:cs="Times New Roman"/>
          <w:color w:val="000000"/>
          <w:sz w:val="21"/>
          <w:szCs w:val="21"/>
        </w:rPr>
        <w:t>41.29%</w:t>
      </w:r>
      <w:r>
        <w:rPr>
          <w:rFonts w:ascii="Times New Roman" w:hAnsi="Times New Roman" w:eastAsia="宋体" w:cs="Times New Roman"/>
          <w:color w:val="FF0000"/>
          <w:sz w:val="21"/>
          <w:szCs w:val="21"/>
          <w:vertAlign w:val="superscript"/>
        </w:rPr>
        <w:footnoteReference w:id="2"/>
      </w:r>
      <w:r>
        <w:rPr>
          <w:rFonts w:hint="eastAsia" w:ascii="Times New Roman" w:hAnsi="Times New Roman" w:eastAsia="宋体" w:cs="Times New Roman"/>
          <w:color w:val="000000"/>
          <w:sz w:val="21"/>
          <w:szCs w:val="21"/>
        </w:rPr>
        <w:t>。</w:t>
      </w:r>
      <w:r>
        <w:rPr>
          <w:rFonts w:hint="eastAsia" w:ascii="Times New Roman" w:hAnsi="Times New Roman" w:eastAsia="宋体"/>
          <w:sz w:val="21"/>
          <w:szCs w:val="21"/>
        </w:rPr>
        <w:t>1</w:t>
      </w:r>
      <w:r>
        <w:rPr>
          <w:rFonts w:ascii="Times New Roman" w:hAnsi="Times New Roman" w:eastAsia="宋体"/>
          <w:sz w:val="21"/>
          <w:szCs w:val="21"/>
        </w:rPr>
        <w:t>962</w:t>
      </w:r>
      <w:r>
        <w:rPr>
          <w:rFonts w:hint="eastAsia" w:ascii="Times New Roman" w:hAnsi="Times New Roman" w:eastAsia="宋体"/>
          <w:sz w:val="21"/>
          <w:szCs w:val="21"/>
        </w:rPr>
        <w:t>年的《中共中央、国务院关于农业生产资金问题的通知》提出，“农村土特产品和副业生产所需要的短期周转资金，由人民银行发放短期贷款解决”</w:t>
      </w:r>
      <w:r>
        <w:rPr>
          <w:rStyle w:val="29"/>
          <w:rFonts w:ascii="Times New Roman" w:hAnsi="Times New Roman" w:cs="Times New Roman"/>
          <w:color w:val="FF0000"/>
          <w:sz w:val="21"/>
          <w:szCs w:val="21"/>
        </w:rPr>
        <w:footnoteReference w:id="3"/>
      </w:r>
      <w:r>
        <w:rPr>
          <w:rFonts w:hint="eastAsia" w:ascii="Times New Roman" w:hAnsi="Times New Roman" w:eastAsia="宋体"/>
          <w:sz w:val="21"/>
          <w:szCs w:val="21"/>
        </w:rPr>
        <w:t>。</w:t>
      </w:r>
    </w:p>
    <w:p w14:paraId="12BC48AA">
      <w:pPr>
        <w:pStyle w:val="2"/>
        <w:spacing w:line="240" w:lineRule="atLeast"/>
        <w:ind w:leftChars="0" w:firstLine="392" w:firstLineChars="200"/>
        <w:rPr>
          <w:rFonts w:hint="eastAsia" w:ascii="Times New Roman" w:hAnsi="Times New Roman" w:eastAsia="宋体"/>
          <w:b/>
          <w:bCs/>
          <w:color w:val="0000FF"/>
          <w:sz w:val="21"/>
          <w:szCs w:val="21"/>
          <w:lang w:val="en-US" w:eastAsia="zh-CN"/>
        </w:rPr>
      </w:pPr>
    </w:p>
    <w:p w14:paraId="1D39E793">
      <w:pPr>
        <w:pStyle w:val="14"/>
        <w:snapToGrid/>
        <w:spacing w:line="240" w:lineRule="atLeast"/>
        <w:ind w:firstLine="392" w:firstLineChars="200"/>
        <w:jc w:val="both"/>
        <w:rPr>
          <w:rFonts w:hint="eastAsia" w:ascii="Times New Roman" w:hAnsi="Times New Roman" w:eastAsia="宋体"/>
          <w:b/>
          <w:bCs/>
          <w:color w:val="0000FF"/>
          <w:sz w:val="21"/>
          <w:szCs w:val="21"/>
          <w:lang w:val="en-US" w:eastAsia="zh-CN"/>
        </w:rPr>
      </w:pPr>
      <w:r>
        <w:rPr>
          <w:rFonts w:hint="eastAsia" w:ascii="Times New Roman" w:hAnsi="Times New Roman" w:eastAsia="宋体"/>
          <w:b/>
          <w:bCs/>
          <w:color w:val="0000FF"/>
          <w:sz w:val="21"/>
          <w:szCs w:val="21"/>
          <w:lang w:val="en-US" w:eastAsia="zh-CN"/>
        </w:rPr>
        <w:t>示例2：（关于各种形式</w:t>
      </w:r>
      <w:r>
        <w:rPr>
          <w:rFonts w:hint="eastAsia" w:ascii="Times New Roman" w:hAnsi="Times New Roman" w:eastAsia="宋体"/>
          <w:b/>
          <w:bCs/>
          <w:color w:val="0000FF"/>
          <w:sz w:val="21"/>
          <w:szCs w:val="21"/>
          <w:highlight w:val="yellow"/>
          <w:lang w:val="en-US" w:eastAsia="zh-CN"/>
        </w:rPr>
        <w:t>经典文献</w:t>
      </w:r>
      <w:r>
        <w:rPr>
          <w:rFonts w:hint="eastAsia" w:ascii="Times New Roman" w:hAnsi="Times New Roman" w:eastAsia="宋体"/>
          <w:b/>
          <w:bCs/>
          <w:color w:val="0000FF"/>
          <w:sz w:val="21"/>
          <w:szCs w:val="21"/>
          <w:lang w:val="en-US" w:eastAsia="zh-CN"/>
        </w:rPr>
        <w:t>引用的脚注）</w:t>
      </w:r>
    </w:p>
    <w:p w14:paraId="75402E78">
      <w:pPr>
        <w:pStyle w:val="14"/>
        <w:snapToGrid/>
        <w:spacing w:line="240" w:lineRule="atLeast"/>
        <w:ind w:firstLine="332" w:firstLineChars="200"/>
        <w:jc w:val="both"/>
        <w:rPr>
          <w:rFonts w:ascii="Times New Roman" w:hAnsi="Times New Roman" w:eastAsia="宋体"/>
          <w:color w:val="FF0000"/>
        </w:rPr>
      </w:pPr>
      <w:r>
        <w:rPr>
          <w:rFonts w:hint="eastAsia" w:ascii="Times New Roman" w:hAnsi="Times New Roman" w:eastAsia="宋体"/>
          <w:color w:val="FF0000"/>
        </w:rPr>
        <w:t>（</w:t>
      </w:r>
      <w:r>
        <w:rPr>
          <w:rFonts w:hint="eastAsia" w:ascii="Times New Roman" w:hAnsi="Times New Roman" w:eastAsia="宋体"/>
          <w:color w:val="FF0000"/>
          <w:lang w:val="en-US" w:eastAsia="zh-CN"/>
        </w:rPr>
        <w:t>当文中引用</w:t>
      </w:r>
      <w:r>
        <w:rPr>
          <w:rFonts w:hint="eastAsia" w:ascii="Times New Roman" w:hAnsi="Times New Roman" w:eastAsia="宋体"/>
          <w:b/>
          <w:bCs/>
          <w:color w:val="FF0000"/>
        </w:rPr>
        <w:t>马恩列斯毛邓江胡习等马克思主义经典文献</w:t>
      </w:r>
      <w:r>
        <w:rPr>
          <w:rFonts w:hint="eastAsia" w:ascii="Times New Roman" w:hAnsi="Times New Roman" w:eastAsia="宋体"/>
          <w:color w:val="FF0000"/>
        </w:rPr>
        <w:t>时，应在脚注中呈现文献信息而不需放到文后参考文献列表中。</w:t>
      </w:r>
      <w:r>
        <w:rPr>
          <w:rFonts w:hint="eastAsia" w:ascii="Times New Roman" w:hAnsi="Times New Roman" w:eastAsia="宋体" w:cs="Times New Roman"/>
          <w:bCs/>
          <w:color w:val="FF0000"/>
          <w:szCs w:val="21"/>
        </w:rPr>
        <w:t>直接引用的内容须与原文完全一致</w:t>
      </w:r>
      <w:r>
        <w:rPr>
          <w:rFonts w:hint="eastAsia" w:ascii="Times New Roman" w:hAnsi="Times New Roman" w:eastAsia="宋体"/>
          <w:color w:val="FF0000"/>
        </w:rPr>
        <w:t>）</w:t>
      </w:r>
    </w:p>
    <w:p w14:paraId="5CA90563">
      <w:pPr>
        <w:pStyle w:val="2"/>
        <w:spacing w:line="240" w:lineRule="atLeast"/>
        <w:ind w:leftChars="0" w:firstLine="392" w:firstLineChars="200"/>
        <w:rPr>
          <w:rFonts w:hint="default" w:ascii="Times New Roman" w:hAnsi="Times New Roman" w:eastAsia="宋体"/>
          <w:b/>
          <w:bCs/>
          <w:color w:val="0000FF"/>
          <w:sz w:val="21"/>
          <w:szCs w:val="21"/>
          <w:lang w:val="en-US" w:eastAsia="zh-CN"/>
        </w:rPr>
      </w:pPr>
    </w:p>
    <w:p w14:paraId="15D7EF2B">
      <w:pPr>
        <w:spacing w:line="240" w:lineRule="atLeast"/>
        <w:ind w:firstLine="392" w:firstLineChars="200"/>
        <w:rPr>
          <w:rFonts w:hint="eastAsia" w:ascii="宋体" w:hAnsi="宋体"/>
          <w:highlight w:val="none"/>
        </w:rPr>
      </w:pPr>
      <w:r>
        <w:rPr>
          <w:rFonts w:hint="eastAsia" w:ascii="宋体" w:hAnsi="宋体"/>
          <w:highlight w:val="none"/>
        </w:rPr>
        <w:t>新民主主义革命时期，共产党人开创了群众路线，视人民群众为创造历史的动力，将“全心全意地为人民服务”</w:t>
      </w:r>
      <w:r>
        <w:rPr>
          <w:rStyle w:val="29"/>
          <w:rFonts w:hint="eastAsia" w:ascii="宋体" w:hAnsi="宋体"/>
          <w:highlight w:val="none"/>
        </w:rPr>
        <w:footnoteReference w:id="4"/>
      </w:r>
      <w:r>
        <w:rPr>
          <w:rFonts w:hint="eastAsia" w:ascii="宋体" w:hAnsi="宋体"/>
          <w:highlight w:val="none"/>
        </w:rPr>
        <w:t>确定为党的根本宗旨；社会主义革命和建设时期，“人民”概念不断具体化，共产党人重视人民群众在日常生活中的所思所想，强调“一定要关心群众生活”</w:t>
      </w:r>
      <w:r>
        <w:rPr>
          <w:rStyle w:val="29"/>
          <w:rFonts w:hint="eastAsia" w:ascii="宋体" w:hAnsi="宋体"/>
          <w:highlight w:val="none"/>
        </w:rPr>
        <w:footnoteReference w:id="5"/>
      </w:r>
      <w:r>
        <w:rPr>
          <w:rFonts w:hint="eastAsia" w:ascii="宋体" w:hAnsi="宋体"/>
          <w:highlight w:val="none"/>
        </w:rPr>
        <w:t>；改革开放和社会主义现代化建设新时期，共产党人</w:t>
      </w:r>
      <w:r>
        <w:rPr>
          <w:rFonts w:hint="eastAsia" w:ascii="宋体" w:hAnsi="宋体"/>
          <w:highlight w:val="none"/>
          <w:lang w:val="en-US" w:eastAsia="zh-CN"/>
        </w:rPr>
        <w:t>强调</w:t>
      </w:r>
      <w:r>
        <w:rPr>
          <w:rFonts w:hint="eastAsia" w:ascii="宋体" w:hAnsi="宋体"/>
          <w:highlight w:val="none"/>
        </w:rPr>
        <w:t>“人民群众是先进生产力和先进文化的创造主体”</w:t>
      </w:r>
      <w:r>
        <w:rPr>
          <w:rStyle w:val="29"/>
          <w:rFonts w:hint="eastAsia" w:ascii="宋体" w:hAnsi="宋体"/>
          <w:highlight w:val="none"/>
        </w:rPr>
        <w:footnoteReference w:id="6"/>
      </w:r>
      <w:r>
        <w:rPr>
          <w:rFonts w:hint="eastAsia" w:ascii="宋体" w:hAnsi="宋体"/>
          <w:highlight w:val="none"/>
        </w:rPr>
        <w:t>，将“以人为本”作为科学发展观的核心，坚持“发展为了人民、发展依靠人民、发展成果由人民共享”</w:t>
      </w:r>
      <w:r>
        <w:rPr>
          <w:rStyle w:val="29"/>
          <w:rFonts w:hint="eastAsia" w:ascii="宋体" w:hAnsi="宋体"/>
          <w:highlight w:val="none"/>
        </w:rPr>
        <w:footnoteReference w:id="7"/>
      </w:r>
      <w:r>
        <w:rPr>
          <w:rFonts w:hint="eastAsia" w:ascii="宋体" w:hAnsi="宋体"/>
          <w:highlight w:val="none"/>
        </w:rPr>
        <w:t>；中国特色社会主义进入新时代，共产党人不断深化人民立场、强化人民主体地位，把人民对美好生活的向往作为党的奋斗目标，提出以人民为中心的发展思想</w:t>
      </w:r>
      <w:r>
        <w:rPr>
          <w:rStyle w:val="29"/>
          <w:rFonts w:hint="eastAsia" w:ascii="宋体" w:hAnsi="宋体"/>
          <w:highlight w:val="none"/>
        </w:rPr>
        <w:footnoteReference w:id="8"/>
      </w:r>
      <w:r>
        <w:rPr>
          <w:rFonts w:hint="eastAsia" w:ascii="宋体" w:hAnsi="宋体"/>
          <w:highlight w:val="none"/>
        </w:rPr>
        <w:t>。</w:t>
      </w:r>
      <w:r>
        <w:rPr>
          <w:rFonts w:hint="eastAsia" w:ascii="宋体" w:hAnsi="宋体" w:eastAsia="宋体" w:cs="宋体"/>
          <w:highlight w:val="none"/>
          <w:lang w:eastAsia="zh-CN"/>
        </w:rPr>
        <w:t>……。</w:t>
      </w:r>
      <w:r>
        <w:rPr>
          <w:rFonts w:hint="eastAsia" w:ascii="宋体" w:hAnsi="宋体"/>
          <w:highlight w:val="none"/>
          <w:lang w:val="en-US" w:eastAsia="zh-CN"/>
        </w:rPr>
        <w:t>将“实践”作为核心范畴之一的</w:t>
      </w:r>
      <w:r>
        <w:rPr>
          <w:rFonts w:hint="eastAsia" w:ascii="宋体" w:hAnsi="宋体"/>
          <w:highlight w:val="none"/>
        </w:rPr>
        <w:t>马克思主义强调文化是人类实践的产物，文化源于人的本质力量的对象化。“</w:t>
      </w:r>
      <w:r>
        <w:rPr>
          <w:rFonts w:ascii="宋体" w:hAnsi="宋体"/>
          <w:highlight w:val="none"/>
        </w:rPr>
        <w:t>文化上的每一个进步，都是迈向自由的一步</w:t>
      </w:r>
      <w:r>
        <w:rPr>
          <w:rFonts w:hint="eastAsia" w:ascii="宋体" w:hAnsi="宋体"/>
          <w:highlight w:val="none"/>
        </w:rPr>
        <w:t>”</w:t>
      </w:r>
      <w:r>
        <w:rPr>
          <w:rStyle w:val="29"/>
          <w:rFonts w:hint="eastAsia" w:ascii="宋体" w:hAnsi="宋体"/>
          <w:highlight w:val="none"/>
        </w:rPr>
        <w:footnoteReference w:id="9"/>
      </w:r>
      <w:r>
        <w:rPr>
          <w:rFonts w:hint="eastAsia" w:ascii="宋体" w:hAnsi="宋体"/>
          <w:highlight w:val="none"/>
        </w:rPr>
        <w:t>，文化的生成</w:t>
      </w:r>
      <w:r>
        <w:rPr>
          <w:rFonts w:hint="eastAsia" w:ascii="宋体" w:hAnsi="宋体"/>
          <w:highlight w:val="none"/>
          <w:lang w:val="en-US" w:eastAsia="zh-CN"/>
        </w:rPr>
        <w:t>和</w:t>
      </w:r>
      <w:r>
        <w:rPr>
          <w:rFonts w:hint="eastAsia" w:ascii="宋体" w:hAnsi="宋体"/>
          <w:highlight w:val="none"/>
        </w:rPr>
        <w:t>发展服务于人类发展和社会历史演进，这与激发农民主体性的旨归不谋而合。</w:t>
      </w:r>
    </w:p>
    <w:p w14:paraId="5172B60E">
      <w:pPr>
        <w:pStyle w:val="2"/>
        <w:rPr>
          <w:rFonts w:hint="eastAsia" w:ascii="宋体" w:hAnsi="宋体" w:eastAsiaTheme="minorEastAsia" w:cstheme="minorBidi"/>
          <w:kern w:val="2"/>
          <w:sz w:val="21"/>
          <w:szCs w:val="24"/>
          <w:highlight w:val="none"/>
          <w:lang w:val="en-US" w:eastAsia="zh-CN" w:bidi="ar-SA"/>
        </w:rPr>
      </w:pPr>
    </w:p>
    <w:p w14:paraId="1F07B018">
      <w:pPr>
        <w:pStyle w:val="2"/>
        <w:spacing w:line="240" w:lineRule="atLeast"/>
        <w:ind w:leftChars="0" w:firstLine="392" w:firstLineChars="200"/>
        <w:rPr>
          <w:rFonts w:hint="default" w:ascii="Times New Roman" w:hAnsi="Times New Roman" w:eastAsia="宋体"/>
          <w:b/>
          <w:bCs/>
          <w:color w:val="0000FF"/>
          <w:sz w:val="21"/>
          <w:szCs w:val="21"/>
          <w:lang w:val="en-US" w:eastAsia="zh-CN"/>
        </w:rPr>
      </w:pPr>
      <w:r>
        <w:rPr>
          <w:rFonts w:hint="eastAsia" w:ascii="Times New Roman" w:hAnsi="Times New Roman" w:eastAsia="宋体"/>
          <w:b/>
          <w:bCs/>
          <w:color w:val="0000FF"/>
          <w:sz w:val="21"/>
          <w:szCs w:val="21"/>
          <w:lang w:val="en-US" w:eastAsia="zh-CN"/>
        </w:rPr>
        <w:t>示例3：（关于</w:t>
      </w:r>
      <w:r>
        <w:rPr>
          <w:rFonts w:hint="eastAsia" w:ascii="Times New Roman" w:hAnsi="Times New Roman" w:eastAsia="宋体"/>
          <w:b/>
          <w:bCs/>
          <w:color w:val="0000FF"/>
          <w:sz w:val="21"/>
          <w:szCs w:val="21"/>
          <w:highlight w:val="yellow"/>
          <w:lang w:val="en-US" w:eastAsia="zh-CN"/>
        </w:rPr>
        <w:t>古籍</w:t>
      </w:r>
      <w:r>
        <w:rPr>
          <w:rFonts w:hint="eastAsia" w:ascii="Times New Roman" w:hAnsi="Times New Roman" w:eastAsia="宋体"/>
          <w:b/>
          <w:bCs/>
          <w:color w:val="0000FF"/>
          <w:sz w:val="21"/>
          <w:szCs w:val="21"/>
          <w:lang w:val="en-US" w:eastAsia="zh-CN"/>
        </w:rPr>
        <w:t>的脚注）</w:t>
      </w:r>
    </w:p>
    <w:p w14:paraId="1F40315C">
      <w:pPr>
        <w:spacing w:line="240" w:lineRule="atLeast"/>
        <w:ind w:firstLine="388" w:firstLineChars="200"/>
        <w:rPr>
          <w:rFonts w:hint="eastAsia" w:ascii="宋体" w:hAnsi="宋体"/>
          <w:highlight w:val="none"/>
        </w:rPr>
      </w:pPr>
      <w:r>
        <w:rPr>
          <w:rFonts w:hint="eastAsia" w:cs="Times New Roman Regular"/>
          <w:color w:val="000000"/>
          <w:spacing w:val="-1"/>
          <w:szCs w:val="21"/>
        </w:rPr>
        <w:t>“</w:t>
      </w:r>
      <w:r>
        <w:rPr>
          <w:rFonts w:cs="Times New Roman Regular"/>
          <w:color w:val="000000"/>
          <w:spacing w:val="-1"/>
          <w:szCs w:val="21"/>
        </w:rPr>
        <w:t>务农重本，国之大纲</w:t>
      </w:r>
      <w:r>
        <w:rPr>
          <w:rFonts w:hint="eastAsia" w:cs="Times New Roman Regular"/>
          <w:color w:val="000000"/>
          <w:spacing w:val="-1"/>
          <w:szCs w:val="21"/>
        </w:rPr>
        <w:t>”</w:t>
      </w:r>
      <w:r>
        <w:rPr>
          <w:rFonts w:hint="default" w:ascii="Times New Roman" w:hAnsi="Times New Roman" w:cs="Times New Roman"/>
          <w:color w:val="000000"/>
          <w:spacing w:val="-1"/>
          <w:szCs w:val="21"/>
          <w:vertAlign w:val="superscript"/>
        </w:rPr>
        <w:footnoteReference w:id="10"/>
      </w:r>
      <w:r>
        <w:rPr>
          <w:rFonts w:cs="Times New Roman Regular"/>
          <w:color w:val="000000"/>
          <w:spacing w:val="-1"/>
          <w:szCs w:val="21"/>
        </w:rPr>
        <w:t>。中国自古以来就</w:t>
      </w:r>
      <w:r>
        <w:rPr>
          <w:rFonts w:hint="eastAsia" w:cs="Times New Roman Regular"/>
          <w:color w:val="000000"/>
          <w:spacing w:val="-1"/>
          <w:szCs w:val="21"/>
        </w:rPr>
        <w:t>把</w:t>
      </w:r>
      <w:r>
        <w:rPr>
          <w:rFonts w:cs="Times New Roman Regular"/>
          <w:color w:val="000000"/>
          <w:spacing w:val="-1"/>
          <w:szCs w:val="21"/>
        </w:rPr>
        <w:t>农业</w:t>
      </w:r>
      <w:r>
        <w:rPr>
          <w:rFonts w:hint="eastAsia" w:cs="Times New Roman Regular"/>
          <w:color w:val="000000"/>
          <w:spacing w:val="-1"/>
          <w:szCs w:val="21"/>
        </w:rPr>
        <w:t>作为治国理政</w:t>
      </w:r>
      <w:r>
        <w:rPr>
          <w:rFonts w:cs="Times New Roman Regular"/>
          <w:color w:val="000000"/>
          <w:spacing w:val="-1"/>
          <w:szCs w:val="21"/>
        </w:rPr>
        <w:t>的根本，</w:t>
      </w:r>
      <w:r>
        <w:rPr>
          <w:rFonts w:hint="eastAsia" w:cs="Times New Roman Regular"/>
          <w:color w:val="000000"/>
          <w:spacing w:val="-1"/>
          <w:szCs w:val="21"/>
        </w:rPr>
        <w:t>始终重视农业发展。</w:t>
      </w:r>
      <w:r>
        <w:rPr>
          <w:rFonts w:cs="Times New Roman Regular"/>
          <w:color w:val="000000"/>
          <w:spacing w:val="-1"/>
          <w:szCs w:val="21"/>
        </w:rPr>
        <w:t>历朝历代的政治家、思想家都</w:t>
      </w:r>
      <w:r>
        <w:rPr>
          <w:rFonts w:hint="eastAsia" w:cs="Times New Roman Regular"/>
          <w:color w:val="000000"/>
          <w:spacing w:val="-1"/>
          <w:szCs w:val="21"/>
        </w:rPr>
        <w:t>认为</w:t>
      </w:r>
      <w:r>
        <w:rPr>
          <w:rFonts w:cs="Times New Roman Regular"/>
          <w:color w:val="000000"/>
          <w:spacing w:val="-1"/>
          <w:szCs w:val="21"/>
        </w:rPr>
        <w:t>农业</w:t>
      </w:r>
      <w:r>
        <w:rPr>
          <w:rFonts w:cs="Times New Roman Regular"/>
          <w:color w:val="000000"/>
          <w:spacing w:val="-1"/>
          <w:szCs w:val="21"/>
          <w:lang w:eastAsia="zh-Hans"/>
        </w:rPr>
        <w:t>是</w:t>
      </w:r>
      <w:r>
        <w:rPr>
          <w:rFonts w:cs="Times New Roman Regular"/>
          <w:color w:val="000000"/>
          <w:spacing w:val="-1"/>
          <w:szCs w:val="21"/>
        </w:rPr>
        <w:t>国家经济的基础，是</w:t>
      </w:r>
      <w:r>
        <w:rPr>
          <w:rFonts w:hint="eastAsia" w:cs="Times New Roman Regular"/>
          <w:color w:val="000000"/>
          <w:spacing w:val="-1"/>
          <w:szCs w:val="21"/>
        </w:rPr>
        <w:t>民族</w:t>
      </w:r>
      <w:r>
        <w:rPr>
          <w:rFonts w:cs="Times New Roman Regular"/>
          <w:color w:val="000000"/>
          <w:spacing w:val="-1"/>
          <w:szCs w:val="21"/>
        </w:rPr>
        <w:t>生存发展的命脉。</w:t>
      </w:r>
      <w:r>
        <w:rPr>
          <w:rFonts w:hint="default" w:cs="Times New Roman Regular"/>
          <w:color w:val="000000"/>
          <w:spacing w:val="-1"/>
          <w:szCs w:val="21"/>
          <w:lang w:val="en-US"/>
        </w:rPr>
        <w:t>古语</w:t>
      </w:r>
      <w:r>
        <w:rPr>
          <w:rFonts w:cs="Times New Roman Regular"/>
          <w:color w:val="000000"/>
          <w:spacing w:val="-1"/>
          <w:szCs w:val="21"/>
        </w:rPr>
        <w:t>曰</w:t>
      </w:r>
      <w:r>
        <w:rPr>
          <w:rFonts w:hint="eastAsia" w:cs="Times New Roman Regular"/>
          <w:color w:val="000000"/>
          <w:spacing w:val="-1"/>
          <w:szCs w:val="21"/>
          <w:lang w:eastAsia="zh-Hans"/>
        </w:rPr>
        <w:t>：</w:t>
      </w:r>
      <w:r>
        <w:rPr>
          <w:rFonts w:hint="eastAsia" w:cs="Times New Roman Regular"/>
          <w:color w:val="000000"/>
          <w:spacing w:val="-1"/>
          <w:szCs w:val="21"/>
        </w:rPr>
        <w:t>“</w:t>
      </w:r>
      <w:r>
        <w:rPr>
          <w:rFonts w:cs="Times New Roman Regular"/>
          <w:color w:val="000000"/>
          <w:spacing w:val="-1"/>
          <w:szCs w:val="21"/>
        </w:rPr>
        <w:t>五亩之宅，树之以桑，五十者可以衣帛</w:t>
      </w:r>
      <w:r>
        <w:rPr>
          <w:rFonts w:hint="eastAsia" w:cs="Times New Roman Regular"/>
          <w:color w:val="000000"/>
          <w:spacing w:val="-1"/>
          <w:szCs w:val="21"/>
          <w:lang w:val="en-US" w:eastAsia="zh-Hans"/>
        </w:rPr>
        <w:t>矣</w:t>
      </w:r>
      <w:r>
        <w:rPr>
          <w:rFonts w:hint="eastAsia" w:cs="Times New Roman Regular"/>
          <w:color w:val="000000"/>
          <w:spacing w:val="-1"/>
          <w:szCs w:val="21"/>
          <w:lang w:eastAsia="zh-Hans"/>
        </w:rPr>
        <w:t>。</w:t>
      </w:r>
      <w:r>
        <w:rPr>
          <w:rFonts w:cs="Times New Roman Regular"/>
          <w:color w:val="000000"/>
          <w:spacing w:val="-1"/>
          <w:szCs w:val="21"/>
        </w:rPr>
        <w:t>鸡豚狗彘之畜，无失其时，七十者可以食肉矣</w:t>
      </w:r>
      <w:r>
        <w:rPr>
          <w:rFonts w:hint="eastAsia" w:cs="Times New Roman Regular"/>
          <w:color w:val="000000"/>
          <w:spacing w:val="-1"/>
          <w:szCs w:val="21"/>
          <w:lang w:eastAsia="zh-Hans"/>
        </w:rPr>
        <w:t>。</w:t>
      </w:r>
      <w:r>
        <w:rPr>
          <w:rFonts w:cs="Times New Roman Regular"/>
          <w:color w:val="000000"/>
          <w:spacing w:val="-1"/>
          <w:szCs w:val="21"/>
        </w:rPr>
        <w:t>百亩之田，勿夺其时，数口之家可以无饥矣。</w:t>
      </w:r>
      <w:r>
        <w:rPr>
          <w:rFonts w:hint="eastAsia" w:cs="Times New Roman Regular"/>
          <w:color w:val="000000"/>
          <w:spacing w:val="-1"/>
          <w:szCs w:val="21"/>
        </w:rPr>
        <w:t>”</w:t>
      </w:r>
      <w:r>
        <w:rPr>
          <w:rFonts w:hint="default" w:ascii="Times New Roman Regular" w:hAnsi="Times New Roman Regular" w:cs="Times New Roman Regular"/>
          <w:color w:val="000000"/>
          <w:spacing w:val="-1"/>
          <w:szCs w:val="21"/>
          <w:vertAlign w:val="superscript"/>
        </w:rPr>
        <w:footnoteReference w:id="11"/>
      </w:r>
      <w:r>
        <w:rPr>
          <w:rFonts w:hint="eastAsia" w:cs="Times New Roman Regular"/>
          <w:color w:val="000000"/>
          <w:spacing w:val="-1"/>
          <w:szCs w:val="21"/>
        </w:rPr>
        <w:t>孟子</w:t>
      </w:r>
      <w:r>
        <w:rPr>
          <w:rFonts w:cs="Times New Roman Regular"/>
          <w:color w:val="000000"/>
          <w:spacing w:val="-1"/>
          <w:szCs w:val="21"/>
        </w:rPr>
        <w:t>主张</w:t>
      </w:r>
      <w:r>
        <w:rPr>
          <w:rFonts w:hint="eastAsia" w:cs="Times New Roman Regular"/>
          <w:color w:val="000000"/>
          <w:spacing w:val="-1"/>
          <w:szCs w:val="21"/>
        </w:rPr>
        <w:t>“仁政必自经界始”</w:t>
      </w:r>
      <w:r>
        <w:rPr>
          <w:rFonts w:ascii="Times New Roman Regular" w:hAnsi="Times New Roman Regular" w:cs="Times New Roman Regular"/>
          <w:color w:val="000000"/>
          <w:spacing w:val="-1"/>
          <w:szCs w:val="21"/>
          <w:vertAlign w:val="superscript"/>
        </w:rPr>
        <w:footnoteReference w:id="12"/>
      </w:r>
      <w:r>
        <w:rPr>
          <w:rFonts w:cs="Times New Roman Regular"/>
          <w:color w:val="000000"/>
          <w:spacing w:val="-1"/>
          <w:szCs w:val="21"/>
        </w:rPr>
        <w:t>，富民必先</w:t>
      </w:r>
      <w:r>
        <w:rPr>
          <w:rFonts w:hint="eastAsia" w:cs="Times New Roman Regular"/>
          <w:color w:val="000000"/>
          <w:spacing w:val="-1"/>
          <w:szCs w:val="21"/>
        </w:rPr>
        <w:t>“</w:t>
      </w:r>
      <w:r>
        <w:rPr>
          <w:rFonts w:cs="Times New Roman Regular"/>
          <w:color w:val="000000"/>
          <w:spacing w:val="-1"/>
          <w:szCs w:val="21"/>
        </w:rPr>
        <w:t>易其田畴</w:t>
      </w:r>
      <w:r>
        <w:rPr>
          <w:rFonts w:hint="eastAsia" w:cs="Times New Roman Regular"/>
          <w:color w:val="000000"/>
          <w:spacing w:val="-1"/>
          <w:szCs w:val="21"/>
        </w:rPr>
        <w:t>，薄其税敛”</w:t>
      </w:r>
      <w:r>
        <w:rPr>
          <w:rFonts w:hint="default" w:ascii="Times New Roman" w:hAnsi="Times New Roman" w:cs="Times New Roman"/>
          <w:color w:val="000000"/>
          <w:spacing w:val="-1"/>
          <w:sz w:val="18"/>
          <w:szCs w:val="18"/>
          <w:vertAlign w:val="superscript"/>
        </w:rPr>
        <w:footnoteReference w:id="13"/>
      </w:r>
      <w:r>
        <w:rPr>
          <w:rFonts w:cs="Times New Roman Regular"/>
          <w:color w:val="000000"/>
          <w:spacing w:val="-1"/>
          <w:szCs w:val="21"/>
        </w:rPr>
        <w:t>，</w:t>
      </w:r>
      <w:r>
        <w:rPr>
          <w:rFonts w:hint="eastAsia" w:cs="Times New Roman Regular"/>
          <w:color w:val="000000"/>
          <w:spacing w:val="-1"/>
          <w:szCs w:val="21"/>
        </w:rPr>
        <w:t>体现了“</w:t>
      </w:r>
      <w:r>
        <w:rPr>
          <w:rFonts w:cs="Times New Roman Regular"/>
          <w:color w:val="000000"/>
          <w:spacing w:val="-1"/>
          <w:szCs w:val="21"/>
        </w:rPr>
        <w:t>农强则民富</w:t>
      </w:r>
      <w:r>
        <w:rPr>
          <w:rFonts w:hint="eastAsia" w:cs="Times New Roman Regular"/>
          <w:color w:val="000000"/>
          <w:spacing w:val="-1"/>
          <w:szCs w:val="21"/>
        </w:rPr>
        <w:t>、</w:t>
      </w:r>
      <w:r>
        <w:rPr>
          <w:rFonts w:cs="Times New Roman Regular"/>
          <w:color w:val="000000"/>
          <w:spacing w:val="-1"/>
          <w:szCs w:val="21"/>
        </w:rPr>
        <w:t>民富则国强</w:t>
      </w:r>
      <w:r>
        <w:rPr>
          <w:rFonts w:hint="eastAsia" w:cs="Times New Roman Regular"/>
          <w:color w:val="000000"/>
          <w:spacing w:val="-1"/>
          <w:szCs w:val="21"/>
        </w:rPr>
        <w:t>”的重农思想</w:t>
      </w:r>
      <w:r>
        <w:rPr>
          <w:rFonts w:cs="Times New Roman Regular"/>
          <w:color w:val="000000"/>
          <w:spacing w:val="-1"/>
          <w:szCs w:val="21"/>
        </w:rPr>
        <w:t>。</w:t>
      </w:r>
      <w:r>
        <w:rPr>
          <w:rFonts w:hint="eastAsia" w:cs="Times New Roman Regular"/>
          <w:color w:val="000000"/>
          <w:spacing w:val="-1"/>
          <w:szCs w:val="21"/>
        </w:rPr>
        <w:t>荀子</w:t>
      </w:r>
      <w:r>
        <w:rPr>
          <w:rFonts w:hint="eastAsia" w:cs="Times New Roman Regular"/>
          <w:color w:val="000000"/>
          <w:spacing w:val="-1"/>
          <w:szCs w:val="21"/>
          <w:lang w:eastAsia="zh-Hans"/>
        </w:rPr>
        <w:t>认为</w:t>
      </w:r>
      <w:r>
        <w:rPr>
          <w:rFonts w:cs="Times New Roman Regular"/>
          <w:color w:val="000000"/>
          <w:spacing w:val="-1"/>
          <w:szCs w:val="21"/>
        </w:rPr>
        <w:t>社会财富的多寡、国家的兴衰、民众的贫富主要取决于农业生产的状况，</w:t>
      </w:r>
      <w:r>
        <w:rPr>
          <w:rFonts w:hint="eastAsia" w:cs="Times New Roman Regular"/>
          <w:color w:val="000000"/>
          <w:spacing w:val="-1"/>
          <w:szCs w:val="21"/>
        </w:rPr>
        <w:t>提出应</w:t>
      </w:r>
      <w:r>
        <w:rPr>
          <w:rFonts w:cs="Times New Roman Regular"/>
          <w:color w:val="000000"/>
          <w:spacing w:val="-1"/>
          <w:szCs w:val="21"/>
        </w:rPr>
        <w:t>发展</w:t>
      </w:r>
      <w:r>
        <w:rPr>
          <w:rFonts w:hint="eastAsia" w:cs="Times New Roman Regular"/>
          <w:color w:val="000000"/>
          <w:spacing w:val="-1"/>
          <w:szCs w:val="21"/>
        </w:rPr>
        <w:t>农业</w:t>
      </w:r>
      <w:r>
        <w:rPr>
          <w:rFonts w:cs="Times New Roman Regular"/>
          <w:color w:val="000000"/>
          <w:spacing w:val="-1"/>
          <w:szCs w:val="21"/>
        </w:rPr>
        <w:t>，尽力强本。</w:t>
      </w:r>
    </w:p>
    <w:p w14:paraId="14CB6CAA">
      <w:pPr>
        <w:tabs>
          <w:tab w:val="left" w:pos="1176"/>
        </w:tabs>
        <w:autoSpaceDE w:val="0"/>
        <w:autoSpaceDN w:val="0"/>
        <w:spacing w:line="240" w:lineRule="atLeast"/>
        <w:rPr>
          <w:rFonts w:ascii="Times New Roman" w:hAnsi="Times New Roman" w:eastAsia="宋体" w:cs="Times New Roman"/>
          <w:color w:val="000000"/>
          <w:szCs w:val="22"/>
        </w:rPr>
      </w:pPr>
    </w:p>
    <w:p w14:paraId="1AF8D2D8">
      <w:pPr>
        <w:spacing w:line="480" w:lineRule="auto"/>
        <w:jc w:val="center"/>
        <w:rPr>
          <w:rFonts w:ascii="黑体" w:hAnsi="黑体" w:eastAsia="黑体"/>
          <w:sz w:val="24"/>
          <w:szCs w:val="32"/>
        </w:rPr>
      </w:pPr>
      <w:r>
        <w:rPr>
          <w:rFonts w:hint="eastAsia" w:ascii="黑体" w:hAnsi="黑体" w:eastAsia="黑体"/>
          <w:sz w:val="24"/>
          <w:szCs w:val="32"/>
        </w:rPr>
        <w:t>二、政策回顾和理论分析</w:t>
      </w:r>
      <w:r>
        <w:rPr>
          <w:rFonts w:ascii="Times New Roman" w:hAnsi="Times New Roman" w:eastAsia="宋体" w:cs="Times New Roman"/>
          <w:color w:val="FF0000"/>
          <w:szCs w:val="22"/>
        </w:rPr>
        <w:t>（</w:t>
      </w:r>
      <w:r>
        <w:rPr>
          <w:rFonts w:hint="eastAsia" w:ascii="Times New Roman" w:hAnsi="Times New Roman" w:eastAsia="宋体" w:cs="Times New Roman"/>
          <w:color w:val="FF0000"/>
          <w:szCs w:val="22"/>
        </w:rPr>
        <w:t>一级标题：黑体小四号，居中，2</w:t>
      </w:r>
      <w:r>
        <w:rPr>
          <w:rFonts w:ascii="Times New Roman" w:hAnsi="Times New Roman" w:eastAsia="宋体" w:cs="Times New Roman"/>
          <w:color w:val="FF0000"/>
          <w:szCs w:val="22"/>
        </w:rPr>
        <w:t>倍行距）</w:t>
      </w:r>
    </w:p>
    <w:p w14:paraId="001CC3DE">
      <w:pPr>
        <w:autoSpaceDE w:val="0"/>
        <w:autoSpaceDN w:val="0"/>
        <w:spacing w:line="240" w:lineRule="atLeast"/>
        <w:ind w:firstLine="392" w:firstLineChars="200"/>
        <w:rPr>
          <w:rFonts w:ascii="黑体" w:hAnsi="黑体" w:eastAsia="黑体" w:cs="Times New Roman"/>
          <w:color w:val="000000"/>
          <w:kern w:val="0"/>
          <w:szCs w:val="21"/>
        </w:rPr>
      </w:pPr>
      <w:r>
        <w:rPr>
          <w:rFonts w:hint="eastAsia" w:ascii="黑体" w:hAnsi="黑体" w:eastAsia="黑体" w:cs="Times New Roman"/>
          <w:color w:val="000000"/>
          <w:kern w:val="0"/>
          <w:szCs w:val="21"/>
        </w:rPr>
        <w:t>（一）政策回顾</w:t>
      </w:r>
      <w:r>
        <w:rPr>
          <w:rFonts w:hint="eastAsia" w:ascii="Times New Roman" w:hAnsi="Times New Roman" w:eastAsia="宋体" w:cs="Times New Roman"/>
          <w:color w:val="FF0000"/>
          <w:kern w:val="0"/>
          <w:szCs w:val="21"/>
        </w:rPr>
        <w:t>（二级标题：黑体五号，左缩进两格，行距为最小值1</w:t>
      </w:r>
      <w:r>
        <w:rPr>
          <w:rFonts w:ascii="Times New Roman" w:hAnsi="Times New Roman" w:eastAsia="宋体" w:cs="Times New Roman"/>
          <w:color w:val="FF0000"/>
          <w:kern w:val="0"/>
          <w:szCs w:val="21"/>
        </w:rPr>
        <w:t>2</w:t>
      </w:r>
      <w:r>
        <w:rPr>
          <w:rFonts w:hint="eastAsia" w:ascii="Times New Roman" w:hAnsi="Times New Roman" w:eastAsia="宋体" w:cs="Times New Roman"/>
          <w:color w:val="FF0000"/>
          <w:kern w:val="0"/>
          <w:szCs w:val="21"/>
        </w:rPr>
        <w:t>磅）</w:t>
      </w:r>
    </w:p>
    <w:p w14:paraId="276A94C0">
      <w:pPr>
        <w:spacing w:line="240" w:lineRule="atLeast"/>
        <w:ind w:firstLine="420" w:firstLineChars="214"/>
        <w:rPr>
          <w:rFonts w:ascii="Times New Roman" w:hAnsi="Times New Roman" w:eastAsia="宋体" w:cs="Times New Roman"/>
          <w:color w:val="000000"/>
          <w:szCs w:val="22"/>
        </w:rPr>
      </w:pPr>
      <w:r>
        <w:rPr>
          <w:rFonts w:hint="eastAsia" w:ascii="Times New Roman" w:hAnsi="Times New Roman" w:eastAsia="楷体" w:cs="Times New Roman"/>
          <w:color w:val="000000"/>
          <w:szCs w:val="22"/>
        </w:rPr>
        <w:t>1</w:t>
      </w:r>
      <w:r>
        <w:rPr>
          <w:rFonts w:ascii="Times New Roman" w:hAnsi="Times New Roman" w:eastAsia="楷体" w:cs="Times New Roman"/>
          <w:color w:val="000000"/>
          <w:szCs w:val="22"/>
        </w:rPr>
        <w:t>.</w:t>
      </w:r>
      <w:r>
        <w:rPr>
          <w:rFonts w:hint="eastAsia" w:ascii="Times New Roman" w:hAnsi="Times New Roman" w:eastAsia="楷体" w:cs="Times New Roman"/>
          <w:color w:val="000000"/>
          <w:szCs w:val="22"/>
        </w:rPr>
        <w:t>起始阶段。</w:t>
      </w:r>
      <w:r>
        <w:rPr>
          <w:rFonts w:hint="eastAsia" w:ascii="Times New Roman" w:hAnsi="Times New Roman" w:eastAsia="宋体" w:cs="Times New Roman"/>
          <w:color w:val="FF0000"/>
          <w:szCs w:val="21"/>
        </w:rPr>
        <w:t>（三级标题：楷体五号，左缩进两格，行距为最小值12磅，后面接排正文）</w:t>
      </w:r>
      <w:r>
        <w:rPr>
          <w:rFonts w:hint="eastAsia" w:ascii="Times New Roman" w:hAnsi="Times New Roman" w:eastAsia="宋体" w:cs="Times New Roman"/>
          <w:color w:val="000000"/>
          <w:szCs w:val="22"/>
        </w:rPr>
        <w:t>“电子商务进农村综合示范”政策始于</w:t>
      </w:r>
      <w:r>
        <w:rPr>
          <w:rFonts w:ascii="Times New Roman" w:hAnsi="Times New Roman" w:eastAsia="宋体" w:cs="Times New Roman"/>
          <w:color w:val="000000"/>
          <w:szCs w:val="22"/>
        </w:rPr>
        <w:t>2014</w:t>
      </w:r>
      <w:r>
        <w:rPr>
          <w:rFonts w:hint="eastAsia" w:ascii="Times New Roman" w:hAnsi="Times New Roman" w:eastAsia="宋体" w:cs="Times New Roman"/>
          <w:color w:val="000000"/>
          <w:szCs w:val="22"/>
        </w:rPr>
        <w:t>年，在实施初期呈现出以下特征：第一，“电子商务进农村综合示范”政策以县为单位开展试点，具有“</w:t>
      </w:r>
      <w:r>
        <w:rPr>
          <w:rFonts w:ascii="Times New Roman" w:hAnsi="Times New Roman" w:eastAsia="宋体" w:cs="Times New Roman"/>
          <w:color w:val="000000"/>
          <w:szCs w:val="22"/>
        </w:rPr>
        <w:t>先试点再逐步推广</w:t>
      </w:r>
      <w:r>
        <w:rPr>
          <w:rFonts w:hint="eastAsia" w:ascii="Times New Roman" w:hAnsi="Times New Roman" w:eastAsia="宋体" w:cs="Times New Roman"/>
          <w:color w:val="000000"/>
          <w:szCs w:val="22"/>
        </w:rPr>
        <w:t>”</w:t>
      </w:r>
      <w:r>
        <w:rPr>
          <w:rFonts w:ascii="Times New Roman" w:hAnsi="Times New Roman" w:eastAsia="宋体" w:cs="Times New Roman"/>
          <w:color w:val="000000"/>
          <w:szCs w:val="22"/>
        </w:rPr>
        <w:t>的准自然实验特征</w:t>
      </w:r>
      <w:r>
        <w:rPr>
          <w:rFonts w:hint="eastAsia" w:ascii="Times New Roman" w:hAnsi="Times New Roman" w:eastAsia="宋体" w:cs="Times New Roman"/>
          <w:color w:val="000000"/>
          <w:szCs w:val="22"/>
        </w:rPr>
        <w:t>。</w:t>
      </w:r>
    </w:p>
    <w:p w14:paraId="37F1D98A">
      <w:pPr>
        <w:spacing w:line="240" w:lineRule="atLeast"/>
        <w:ind w:firstLine="332" w:firstLineChars="200"/>
        <w:rPr>
          <w:rFonts w:ascii="Times New Roman" w:hAnsi="Times New Roman" w:eastAsia="黑体" w:cs="Times New Roman"/>
          <w:bCs/>
          <w:color w:val="000000"/>
          <w:sz w:val="18"/>
          <w:szCs w:val="18"/>
        </w:rPr>
      </w:pPr>
      <w:r>
        <w:rPr>
          <w:rFonts w:hint="eastAsia" w:ascii="Times New Roman" w:hAnsi="Times New Roman" w:eastAsia="黑体" w:cs="Times New Roman"/>
          <w:bCs/>
          <w:color w:val="000000"/>
          <w:sz w:val="18"/>
          <w:szCs w:val="18"/>
        </w:rPr>
        <w:t>表</w:t>
      </w:r>
      <w:r>
        <w:rPr>
          <w:rFonts w:ascii="Times New Roman" w:hAnsi="Times New Roman" w:eastAsia="黑体" w:cs="Times New Roman"/>
          <w:bCs/>
          <w:color w:val="000000"/>
          <w:sz w:val="18"/>
          <w:szCs w:val="18"/>
        </w:rPr>
        <w:t xml:space="preserve">1                              </w:t>
      </w:r>
      <w:r>
        <w:rPr>
          <w:rFonts w:hint="eastAsia" w:ascii="Times New Roman" w:hAnsi="Times New Roman" w:eastAsia="黑体" w:cs="Times New Roman"/>
          <w:bCs/>
          <w:color w:val="000000"/>
          <w:sz w:val="18"/>
          <w:szCs w:val="18"/>
        </w:rPr>
        <w:t>主要变量定义及描述性统计结果</w:t>
      </w:r>
    </w:p>
    <w:tbl>
      <w:tblPr>
        <w:tblStyle w:val="18"/>
        <w:tblW w:w="8665" w:type="dxa"/>
        <w:tblInd w:w="7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5"/>
        <w:gridCol w:w="3404"/>
        <w:gridCol w:w="762"/>
        <w:gridCol w:w="807"/>
        <w:gridCol w:w="716"/>
        <w:gridCol w:w="761"/>
      </w:tblGrid>
      <w:tr w14:paraId="084C55B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top w:val="single" w:color="auto" w:sz="12" w:space="0"/>
              <w:bottom w:val="single" w:color="auto" w:sz="4" w:space="0"/>
              <w:right w:val="single" w:color="auto" w:sz="4" w:space="0"/>
            </w:tcBorders>
          </w:tcPr>
          <w:p w14:paraId="4434385C">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变量</w:t>
            </w:r>
            <w:r>
              <w:rPr>
                <w:rFonts w:hint="eastAsia" w:ascii="Times New Roman" w:hAnsi="Times New Roman" w:eastAsia="宋体" w:cs="Times New Roman"/>
                <w:color w:val="000000"/>
                <w:kern w:val="0"/>
                <w:sz w:val="18"/>
                <w:szCs w:val="21"/>
              </w:rPr>
              <w:t>名称</w:t>
            </w:r>
          </w:p>
        </w:tc>
        <w:tc>
          <w:tcPr>
            <w:tcW w:w="3404" w:type="dxa"/>
            <w:tcBorders>
              <w:top w:val="single" w:color="auto" w:sz="12" w:space="0"/>
              <w:left w:val="single" w:color="auto" w:sz="4" w:space="0"/>
              <w:bottom w:val="single" w:color="auto" w:sz="4" w:space="0"/>
              <w:right w:val="nil"/>
            </w:tcBorders>
          </w:tcPr>
          <w:p w14:paraId="2E1FEA5E">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变量</w:t>
            </w:r>
            <w:r>
              <w:rPr>
                <w:rFonts w:hint="eastAsia" w:ascii="Times New Roman" w:hAnsi="Times New Roman" w:eastAsia="宋体" w:cs="Times New Roman"/>
                <w:color w:val="000000"/>
                <w:kern w:val="0"/>
                <w:sz w:val="18"/>
                <w:szCs w:val="21"/>
              </w:rPr>
              <w:t>定义或赋值</w:t>
            </w:r>
          </w:p>
        </w:tc>
        <w:tc>
          <w:tcPr>
            <w:tcW w:w="762" w:type="dxa"/>
            <w:tcBorders>
              <w:top w:val="single" w:color="auto" w:sz="12" w:space="0"/>
              <w:left w:val="nil"/>
              <w:bottom w:val="single" w:color="auto" w:sz="4" w:space="0"/>
              <w:right w:val="nil"/>
            </w:tcBorders>
          </w:tcPr>
          <w:p w14:paraId="45AA40EF">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平均值</w:t>
            </w:r>
          </w:p>
        </w:tc>
        <w:tc>
          <w:tcPr>
            <w:tcW w:w="807" w:type="dxa"/>
            <w:tcBorders>
              <w:top w:val="single" w:color="auto" w:sz="12" w:space="0"/>
              <w:left w:val="nil"/>
              <w:bottom w:val="single" w:color="auto" w:sz="4" w:space="0"/>
              <w:right w:val="nil"/>
            </w:tcBorders>
          </w:tcPr>
          <w:p w14:paraId="4C890A2C">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标准差</w:t>
            </w:r>
          </w:p>
        </w:tc>
        <w:tc>
          <w:tcPr>
            <w:tcW w:w="716" w:type="dxa"/>
            <w:tcBorders>
              <w:top w:val="single" w:color="auto" w:sz="12" w:space="0"/>
              <w:left w:val="nil"/>
              <w:bottom w:val="single" w:color="auto" w:sz="4" w:space="0"/>
              <w:right w:val="nil"/>
            </w:tcBorders>
          </w:tcPr>
          <w:p w14:paraId="426281EA">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最小值</w:t>
            </w:r>
          </w:p>
        </w:tc>
        <w:tc>
          <w:tcPr>
            <w:tcW w:w="761" w:type="dxa"/>
            <w:tcBorders>
              <w:top w:val="single" w:color="auto" w:sz="12" w:space="0"/>
              <w:left w:val="nil"/>
              <w:bottom w:val="single" w:color="auto" w:sz="4" w:space="0"/>
            </w:tcBorders>
          </w:tcPr>
          <w:p w14:paraId="341ABB44">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最大值</w:t>
            </w:r>
          </w:p>
        </w:tc>
      </w:tr>
      <w:tr w14:paraId="445E90E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top w:val="single" w:color="auto" w:sz="4" w:space="0"/>
              <w:right w:val="single" w:color="auto" w:sz="4" w:space="0"/>
            </w:tcBorders>
          </w:tcPr>
          <w:p w14:paraId="36AA6718">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外出劳动力</w:t>
            </w:r>
            <w:r>
              <w:rPr>
                <w:rFonts w:hint="eastAsia" w:ascii="Times New Roman" w:hAnsi="Times New Roman" w:eastAsia="宋体" w:cs="Times New Roman"/>
                <w:color w:val="000000"/>
                <w:kern w:val="0"/>
                <w:sz w:val="18"/>
                <w:szCs w:val="21"/>
              </w:rPr>
              <w:t>占比</w:t>
            </w:r>
          </w:p>
        </w:tc>
        <w:tc>
          <w:tcPr>
            <w:tcW w:w="3404" w:type="dxa"/>
            <w:tcBorders>
              <w:top w:val="single" w:color="auto" w:sz="4" w:space="0"/>
              <w:left w:val="single" w:color="auto" w:sz="4" w:space="0"/>
              <w:bottom w:val="nil"/>
              <w:right w:val="nil"/>
            </w:tcBorders>
          </w:tcPr>
          <w:p w14:paraId="3AC4077A">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外出劳动力</w:t>
            </w:r>
            <w:r>
              <w:rPr>
                <w:rFonts w:hint="eastAsia" w:ascii="Times New Roman" w:hAnsi="Times New Roman" w:eastAsia="宋体" w:cs="Times New Roman"/>
                <w:color w:val="000000"/>
                <w:kern w:val="0"/>
                <w:sz w:val="18"/>
                <w:szCs w:val="21"/>
              </w:rPr>
              <w:t>数量</w:t>
            </w:r>
            <w:r>
              <w:rPr>
                <w:rFonts w:ascii="Times New Roman" w:hAnsi="Times New Roman" w:eastAsia="宋体" w:cs="Times New Roman"/>
                <w:color w:val="000000"/>
                <w:kern w:val="0"/>
                <w:sz w:val="18"/>
                <w:szCs w:val="21"/>
              </w:rPr>
              <w:t>占村庄劳动力总数的比</w:t>
            </w:r>
            <w:r>
              <w:rPr>
                <w:rFonts w:hint="eastAsia" w:ascii="Times New Roman" w:hAnsi="Times New Roman" w:eastAsia="宋体" w:cs="Times New Roman"/>
                <w:color w:val="000000"/>
                <w:kern w:val="0"/>
                <w:sz w:val="18"/>
                <w:szCs w:val="21"/>
              </w:rPr>
              <w:t>重</w:t>
            </w:r>
          </w:p>
        </w:tc>
        <w:tc>
          <w:tcPr>
            <w:tcW w:w="762" w:type="dxa"/>
            <w:tcBorders>
              <w:top w:val="single" w:color="auto" w:sz="4" w:space="0"/>
              <w:left w:val="nil"/>
              <w:right w:val="nil"/>
            </w:tcBorders>
            <w:vAlign w:val="center"/>
          </w:tcPr>
          <w:p w14:paraId="4587A5D2">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0.35</w:t>
            </w:r>
          </w:p>
        </w:tc>
        <w:tc>
          <w:tcPr>
            <w:tcW w:w="807" w:type="dxa"/>
            <w:tcBorders>
              <w:top w:val="single" w:color="auto" w:sz="4" w:space="0"/>
              <w:left w:val="nil"/>
              <w:right w:val="nil"/>
            </w:tcBorders>
            <w:vAlign w:val="center"/>
          </w:tcPr>
          <w:p w14:paraId="33D98664">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0.21</w:t>
            </w:r>
          </w:p>
        </w:tc>
        <w:tc>
          <w:tcPr>
            <w:tcW w:w="716" w:type="dxa"/>
            <w:tcBorders>
              <w:top w:val="single" w:color="auto" w:sz="4" w:space="0"/>
              <w:left w:val="nil"/>
              <w:right w:val="nil"/>
            </w:tcBorders>
            <w:vAlign w:val="center"/>
          </w:tcPr>
          <w:p w14:paraId="3556C46C">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w:t>
            </w:r>
          </w:p>
        </w:tc>
        <w:tc>
          <w:tcPr>
            <w:tcW w:w="761" w:type="dxa"/>
            <w:tcBorders>
              <w:top w:val="single" w:color="auto" w:sz="4" w:space="0"/>
              <w:left w:val="nil"/>
            </w:tcBorders>
            <w:vAlign w:val="center"/>
          </w:tcPr>
          <w:p w14:paraId="554EC673">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1</w:t>
            </w:r>
          </w:p>
        </w:tc>
      </w:tr>
      <w:tr w14:paraId="015663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711ED7D3">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电子商务进农村综合示范</w:t>
            </w:r>
          </w:p>
        </w:tc>
        <w:tc>
          <w:tcPr>
            <w:tcW w:w="3404" w:type="dxa"/>
            <w:tcBorders>
              <w:top w:val="nil"/>
              <w:left w:val="single" w:color="auto" w:sz="4" w:space="0"/>
              <w:bottom w:val="nil"/>
              <w:right w:val="nil"/>
            </w:tcBorders>
          </w:tcPr>
          <w:p w14:paraId="0C7C2567">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是否进入“电子商务进农村综合示范”政策实施名单：实施</w:t>
            </w:r>
            <w:r>
              <w:rPr>
                <w:rFonts w:ascii="Times New Roman" w:hAnsi="Times New Roman" w:eastAsia="宋体" w:cs="Times New Roman"/>
                <w:color w:val="000000"/>
                <w:kern w:val="0"/>
                <w:sz w:val="18"/>
                <w:szCs w:val="21"/>
              </w:rPr>
              <w:t>当年及以后各年=1，</w:t>
            </w:r>
            <w:r>
              <w:rPr>
                <w:rFonts w:hint="eastAsia" w:ascii="Times New Roman" w:hAnsi="Times New Roman" w:eastAsia="宋体" w:cs="Times New Roman"/>
                <w:color w:val="000000"/>
                <w:kern w:val="0"/>
                <w:sz w:val="18"/>
                <w:szCs w:val="21"/>
              </w:rPr>
              <w:t>其他=</w:t>
            </w:r>
            <w:r>
              <w:rPr>
                <w:rFonts w:ascii="Times New Roman" w:hAnsi="Times New Roman" w:eastAsia="宋体" w:cs="Times New Roman"/>
                <w:color w:val="000000"/>
                <w:kern w:val="0"/>
                <w:sz w:val="18"/>
                <w:szCs w:val="21"/>
              </w:rPr>
              <w:t>0</w:t>
            </w:r>
          </w:p>
        </w:tc>
        <w:tc>
          <w:tcPr>
            <w:tcW w:w="762" w:type="dxa"/>
            <w:tcBorders>
              <w:left w:val="nil"/>
              <w:right w:val="nil"/>
            </w:tcBorders>
          </w:tcPr>
          <w:p w14:paraId="5328A89B">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0.08</w:t>
            </w:r>
          </w:p>
        </w:tc>
        <w:tc>
          <w:tcPr>
            <w:tcW w:w="807" w:type="dxa"/>
            <w:tcBorders>
              <w:left w:val="nil"/>
              <w:right w:val="nil"/>
            </w:tcBorders>
          </w:tcPr>
          <w:p w14:paraId="544B4545">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0.27</w:t>
            </w:r>
          </w:p>
        </w:tc>
        <w:tc>
          <w:tcPr>
            <w:tcW w:w="716" w:type="dxa"/>
            <w:tcBorders>
              <w:left w:val="nil"/>
              <w:right w:val="nil"/>
            </w:tcBorders>
          </w:tcPr>
          <w:p w14:paraId="1F3839A8">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w:t>
            </w:r>
          </w:p>
        </w:tc>
        <w:tc>
          <w:tcPr>
            <w:tcW w:w="761" w:type="dxa"/>
            <w:tcBorders>
              <w:left w:val="nil"/>
            </w:tcBorders>
          </w:tcPr>
          <w:p w14:paraId="66521BAB">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1</w:t>
            </w:r>
          </w:p>
        </w:tc>
      </w:tr>
      <w:tr w14:paraId="523BBE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2CADFC51">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村庄经济发展水平</w:t>
            </w:r>
          </w:p>
        </w:tc>
        <w:tc>
          <w:tcPr>
            <w:tcW w:w="3404" w:type="dxa"/>
            <w:tcBorders>
              <w:top w:val="nil"/>
              <w:left w:val="single" w:color="auto" w:sz="4" w:space="0"/>
              <w:bottom w:val="nil"/>
              <w:right w:val="nil"/>
            </w:tcBorders>
          </w:tcPr>
          <w:p w14:paraId="54813E8C">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村庄人均纯收入</w:t>
            </w:r>
            <w:r>
              <w:rPr>
                <w:rFonts w:hint="eastAsia" w:ascii="Times New Roman" w:hAnsi="Times New Roman" w:eastAsia="宋体" w:cs="Times New Roman"/>
                <w:color w:val="000000"/>
                <w:kern w:val="0"/>
                <w:sz w:val="18"/>
                <w:szCs w:val="21"/>
              </w:rPr>
              <w:t>（元</w:t>
            </w:r>
            <w:r>
              <w:rPr>
                <w:rFonts w:hint="eastAsia" w:ascii="宋体" w:hAnsi="宋体" w:eastAsia="宋体" w:cs="Times New Roman"/>
                <w:color w:val="000000"/>
                <w:kern w:val="0"/>
                <w:sz w:val="18"/>
                <w:szCs w:val="21"/>
              </w:rPr>
              <w:t>/</w:t>
            </w:r>
            <w:r>
              <w:rPr>
                <w:rFonts w:hint="eastAsia" w:ascii="Times New Roman" w:hAnsi="Times New Roman" w:eastAsia="宋体" w:cs="Times New Roman"/>
                <w:color w:val="000000"/>
                <w:kern w:val="0"/>
                <w:sz w:val="18"/>
                <w:szCs w:val="21"/>
              </w:rPr>
              <w:t>年）</w:t>
            </w:r>
          </w:p>
        </w:tc>
        <w:tc>
          <w:tcPr>
            <w:tcW w:w="762" w:type="dxa"/>
            <w:tcBorders>
              <w:left w:val="nil"/>
              <w:right w:val="nil"/>
            </w:tcBorders>
          </w:tcPr>
          <w:p w14:paraId="7DA6AAE8">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9923.38</w:t>
            </w:r>
          </w:p>
        </w:tc>
        <w:tc>
          <w:tcPr>
            <w:tcW w:w="807" w:type="dxa"/>
            <w:tcBorders>
              <w:left w:val="nil"/>
              <w:right w:val="nil"/>
            </w:tcBorders>
          </w:tcPr>
          <w:p w14:paraId="69D4E246">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5929.38</w:t>
            </w:r>
          </w:p>
        </w:tc>
        <w:tc>
          <w:tcPr>
            <w:tcW w:w="716" w:type="dxa"/>
            <w:tcBorders>
              <w:left w:val="nil"/>
              <w:right w:val="nil"/>
            </w:tcBorders>
          </w:tcPr>
          <w:p w14:paraId="18494520">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840</w:t>
            </w:r>
          </w:p>
        </w:tc>
        <w:tc>
          <w:tcPr>
            <w:tcW w:w="761" w:type="dxa"/>
            <w:tcBorders>
              <w:left w:val="nil"/>
            </w:tcBorders>
          </w:tcPr>
          <w:p w14:paraId="692D24EC">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33000</w:t>
            </w:r>
          </w:p>
        </w:tc>
      </w:tr>
      <w:tr w14:paraId="0AA2416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2EB454B5">
            <w:pPr>
              <w:spacing w:line="300" w:lineRule="exact"/>
              <w:rPr>
                <w:rFonts w:ascii="Times New Roman" w:hAnsi="Times New Roman" w:eastAsia="宋体" w:cs="Times New Roman"/>
                <w:b/>
                <w:bCs/>
                <w:color w:val="000000"/>
                <w:kern w:val="0"/>
                <w:sz w:val="18"/>
                <w:szCs w:val="21"/>
              </w:rPr>
            </w:pPr>
            <w:r>
              <w:rPr>
                <w:rFonts w:hint="eastAsia" w:ascii="Times New Roman" w:hAnsi="Times New Roman" w:eastAsia="宋体" w:cs="Times New Roman"/>
                <w:color w:val="000000"/>
                <w:kern w:val="0"/>
                <w:sz w:val="18"/>
                <w:szCs w:val="21"/>
              </w:rPr>
              <w:t>村庄</w:t>
            </w:r>
            <w:r>
              <w:rPr>
                <w:rFonts w:ascii="Times New Roman" w:hAnsi="Times New Roman" w:eastAsia="宋体" w:cs="Times New Roman"/>
                <w:color w:val="000000"/>
                <w:kern w:val="0"/>
                <w:sz w:val="18"/>
                <w:szCs w:val="21"/>
              </w:rPr>
              <w:t>人口规模</w:t>
            </w:r>
          </w:p>
        </w:tc>
        <w:tc>
          <w:tcPr>
            <w:tcW w:w="3404" w:type="dxa"/>
            <w:tcBorders>
              <w:top w:val="nil"/>
              <w:left w:val="single" w:color="auto" w:sz="4" w:space="0"/>
              <w:bottom w:val="nil"/>
              <w:right w:val="nil"/>
            </w:tcBorders>
          </w:tcPr>
          <w:p w14:paraId="60BE699C">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村庄常住人口数</w:t>
            </w:r>
            <w:r>
              <w:rPr>
                <w:rFonts w:hint="eastAsia" w:ascii="Times New Roman" w:hAnsi="Times New Roman" w:eastAsia="宋体" w:cs="Times New Roman"/>
                <w:color w:val="000000"/>
                <w:kern w:val="0"/>
                <w:sz w:val="18"/>
                <w:szCs w:val="21"/>
              </w:rPr>
              <w:t>（人）</w:t>
            </w:r>
          </w:p>
        </w:tc>
        <w:tc>
          <w:tcPr>
            <w:tcW w:w="762" w:type="dxa"/>
            <w:tcBorders>
              <w:left w:val="nil"/>
              <w:right w:val="nil"/>
            </w:tcBorders>
          </w:tcPr>
          <w:p w14:paraId="63274C22">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2199.25</w:t>
            </w:r>
          </w:p>
        </w:tc>
        <w:tc>
          <w:tcPr>
            <w:tcW w:w="807" w:type="dxa"/>
            <w:tcBorders>
              <w:left w:val="nil"/>
              <w:right w:val="nil"/>
            </w:tcBorders>
          </w:tcPr>
          <w:p w14:paraId="77DDEFD2">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1720.45</w:t>
            </w:r>
          </w:p>
        </w:tc>
        <w:tc>
          <w:tcPr>
            <w:tcW w:w="716" w:type="dxa"/>
            <w:tcBorders>
              <w:left w:val="nil"/>
              <w:right w:val="nil"/>
            </w:tcBorders>
          </w:tcPr>
          <w:p w14:paraId="7B2FD8DC">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p>
        </w:tc>
        <w:tc>
          <w:tcPr>
            <w:tcW w:w="761" w:type="dxa"/>
            <w:tcBorders>
              <w:left w:val="nil"/>
            </w:tcBorders>
          </w:tcPr>
          <w:p w14:paraId="259B346C">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23473</w:t>
            </w:r>
          </w:p>
        </w:tc>
      </w:tr>
      <w:tr w14:paraId="43F3956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1CC198DE">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道路硬化比例</w:t>
            </w:r>
          </w:p>
        </w:tc>
        <w:tc>
          <w:tcPr>
            <w:tcW w:w="3404" w:type="dxa"/>
            <w:tcBorders>
              <w:top w:val="nil"/>
              <w:left w:val="single" w:color="auto" w:sz="4" w:space="0"/>
              <w:bottom w:val="nil"/>
              <w:right w:val="nil"/>
            </w:tcBorders>
          </w:tcPr>
          <w:p w14:paraId="5F8409E0">
            <w:pPr>
              <w:spacing w:line="300" w:lineRule="exact"/>
              <w:rPr>
                <w:rFonts w:ascii="Times New Roman" w:hAnsi="Times New Roman" w:eastAsia="宋体" w:cs="Times New Roman"/>
                <w:b/>
                <w:bCs/>
                <w:color w:val="000000"/>
                <w:kern w:val="0"/>
                <w:sz w:val="18"/>
                <w:szCs w:val="21"/>
              </w:rPr>
            </w:pPr>
            <w:r>
              <w:rPr>
                <w:rFonts w:hint="eastAsia" w:ascii="Times New Roman" w:hAnsi="Times New Roman" w:eastAsia="宋体" w:cs="Times New Roman"/>
                <w:color w:val="000000"/>
                <w:kern w:val="0"/>
                <w:sz w:val="18"/>
                <w:szCs w:val="21"/>
              </w:rPr>
              <w:t>硬化道路长度占村庄道路总长度的比重</w:t>
            </w:r>
          </w:p>
        </w:tc>
        <w:tc>
          <w:tcPr>
            <w:tcW w:w="762" w:type="dxa"/>
            <w:tcBorders>
              <w:left w:val="nil"/>
              <w:right w:val="nil"/>
            </w:tcBorders>
          </w:tcPr>
          <w:p w14:paraId="5D99A645">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0.94</w:t>
            </w:r>
          </w:p>
        </w:tc>
        <w:tc>
          <w:tcPr>
            <w:tcW w:w="807" w:type="dxa"/>
            <w:tcBorders>
              <w:left w:val="nil"/>
              <w:right w:val="nil"/>
            </w:tcBorders>
          </w:tcPr>
          <w:p w14:paraId="483E6484">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0.16</w:t>
            </w:r>
          </w:p>
        </w:tc>
        <w:tc>
          <w:tcPr>
            <w:tcW w:w="716" w:type="dxa"/>
            <w:tcBorders>
              <w:left w:val="nil"/>
              <w:right w:val="nil"/>
            </w:tcBorders>
          </w:tcPr>
          <w:p w14:paraId="5B9125C9">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w:t>
            </w:r>
          </w:p>
        </w:tc>
        <w:tc>
          <w:tcPr>
            <w:tcW w:w="761" w:type="dxa"/>
            <w:tcBorders>
              <w:left w:val="nil"/>
            </w:tcBorders>
          </w:tcPr>
          <w:p w14:paraId="0A4E5EAD">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1</w:t>
            </w:r>
          </w:p>
        </w:tc>
      </w:tr>
      <w:tr w14:paraId="74BD126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75B8C6D4">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村庄社会</w:t>
            </w:r>
            <w:r>
              <w:rPr>
                <w:rFonts w:ascii="Times New Roman" w:hAnsi="Times New Roman" w:eastAsia="宋体" w:cs="Times New Roman"/>
                <w:color w:val="000000"/>
                <w:kern w:val="0"/>
                <w:sz w:val="18"/>
                <w:szCs w:val="21"/>
              </w:rPr>
              <w:t>治安</w:t>
            </w:r>
          </w:p>
        </w:tc>
        <w:tc>
          <w:tcPr>
            <w:tcW w:w="3404" w:type="dxa"/>
            <w:tcBorders>
              <w:top w:val="nil"/>
              <w:left w:val="single" w:color="auto" w:sz="4" w:space="0"/>
              <w:bottom w:val="nil"/>
              <w:right w:val="nil"/>
            </w:tcBorders>
          </w:tcPr>
          <w:p w14:paraId="24884AFE">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村庄各类民事纠纷、</w:t>
            </w:r>
            <w:r>
              <w:rPr>
                <w:rFonts w:ascii="Times New Roman" w:hAnsi="Times New Roman" w:eastAsia="宋体" w:cs="Times New Roman"/>
                <w:color w:val="000000"/>
                <w:kern w:val="0"/>
                <w:sz w:val="18"/>
                <w:szCs w:val="21"/>
              </w:rPr>
              <w:t>违反社会治安</w:t>
            </w:r>
            <w:r>
              <w:rPr>
                <w:rFonts w:hint="eastAsia" w:ascii="Times New Roman" w:hAnsi="Times New Roman" w:eastAsia="宋体" w:cs="Times New Roman"/>
                <w:color w:val="000000"/>
                <w:kern w:val="0"/>
                <w:sz w:val="18"/>
                <w:szCs w:val="21"/>
              </w:rPr>
              <w:t>事件、各类刑事犯罪案件数量的总和（起</w:t>
            </w:r>
            <w:r>
              <w:rPr>
                <w:rFonts w:hint="eastAsia" w:ascii="宋体" w:hAnsi="宋体" w:eastAsia="宋体" w:cs="宋体"/>
                <w:color w:val="000000"/>
                <w:kern w:val="0"/>
                <w:sz w:val="18"/>
                <w:szCs w:val="21"/>
              </w:rPr>
              <w:t>/</w:t>
            </w:r>
            <w:r>
              <w:rPr>
                <w:rFonts w:hint="eastAsia" w:ascii="Times New Roman" w:hAnsi="Times New Roman" w:eastAsia="宋体" w:cs="Times New Roman"/>
                <w:color w:val="000000"/>
                <w:kern w:val="0"/>
                <w:sz w:val="18"/>
                <w:szCs w:val="21"/>
              </w:rPr>
              <w:t>万人）</w:t>
            </w:r>
          </w:p>
        </w:tc>
        <w:tc>
          <w:tcPr>
            <w:tcW w:w="762" w:type="dxa"/>
            <w:tcBorders>
              <w:left w:val="nil"/>
              <w:right w:val="nil"/>
            </w:tcBorders>
          </w:tcPr>
          <w:p w14:paraId="32987AC9">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24.73</w:t>
            </w:r>
          </w:p>
        </w:tc>
        <w:tc>
          <w:tcPr>
            <w:tcW w:w="807" w:type="dxa"/>
            <w:tcBorders>
              <w:left w:val="nil"/>
              <w:right w:val="nil"/>
            </w:tcBorders>
          </w:tcPr>
          <w:p w14:paraId="18DD782A">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81.89</w:t>
            </w:r>
          </w:p>
        </w:tc>
        <w:tc>
          <w:tcPr>
            <w:tcW w:w="716" w:type="dxa"/>
            <w:tcBorders>
              <w:left w:val="nil"/>
              <w:right w:val="nil"/>
            </w:tcBorders>
          </w:tcPr>
          <w:p w14:paraId="788A4D97">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w:t>
            </w:r>
          </w:p>
        </w:tc>
        <w:tc>
          <w:tcPr>
            <w:tcW w:w="761" w:type="dxa"/>
            <w:tcBorders>
              <w:left w:val="nil"/>
            </w:tcBorders>
          </w:tcPr>
          <w:p w14:paraId="77021339">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2666.04</w:t>
            </w:r>
          </w:p>
        </w:tc>
      </w:tr>
      <w:tr w14:paraId="455783E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6755D6FC">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户</w:t>
            </w:r>
            <w:r>
              <w:rPr>
                <w:rFonts w:ascii="Times New Roman" w:hAnsi="Times New Roman" w:eastAsia="宋体" w:cs="Times New Roman"/>
                <w:color w:val="000000"/>
                <w:kern w:val="0"/>
                <w:sz w:val="18"/>
                <w:szCs w:val="21"/>
              </w:rPr>
              <w:t>均土地面积</w:t>
            </w:r>
          </w:p>
        </w:tc>
        <w:tc>
          <w:tcPr>
            <w:tcW w:w="3404" w:type="dxa"/>
            <w:tcBorders>
              <w:top w:val="nil"/>
              <w:left w:val="single" w:color="auto" w:sz="4" w:space="0"/>
              <w:bottom w:val="nil"/>
              <w:right w:val="nil"/>
            </w:tcBorders>
          </w:tcPr>
          <w:p w14:paraId="58821705">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村庄耕地总面积除以村庄总户数（亩</w:t>
            </w:r>
            <w:r>
              <w:rPr>
                <w:rFonts w:hint="eastAsia" w:ascii="宋体" w:hAnsi="宋体" w:eastAsia="宋体" w:cs="Times New Roman"/>
                <w:color w:val="000000"/>
                <w:kern w:val="0"/>
                <w:sz w:val="18"/>
                <w:szCs w:val="21"/>
              </w:rPr>
              <w:t>/户</w:t>
            </w:r>
            <w:r>
              <w:rPr>
                <w:rFonts w:hint="eastAsia" w:ascii="Times New Roman" w:hAnsi="Times New Roman" w:eastAsia="宋体" w:cs="Times New Roman"/>
                <w:color w:val="000000"/>
                <w:kern w:val="0"/>
                <w:sz w:val="18"/>
                <w:szCs w:val="21"/>
              </w:rPr>
              <w:t>）</w:t>
            </w:r>
          </w:p>
        </w:tc>
        <w:tc>
          <w:tcPr>
            <w:tcW w:w="762" w:type="dxa"/>
            <w:tcBorders>
              <w:left w:val="nil"/>
              <w:right w:val="nil"/>
            </w:tcBorders>
          </w:tcPr>
          <w:p w14:paraId="6A44D4B0">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22.47</w:t>
            </w:r>
          </w:p>
        </w:tc>
        <w:tc>
          <w:tcPr>
            <w:tcW w:w="807" w:type="dxa"/>
            <w:tcBorders>
              <w:left w:val="nil"/>
              <w:right w:val="nil"/>
            </w:tcBorders>
          </w:tcPr>
          <w:p w14:paraId="30E3C8E3">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38.85</w:t>
            </w:r>
          </w:p>
        </w:tc>
        <w:tc>
          <w:tcPr>
            <w:tcW w:w="716" w:type="dxa"/>
            <w:tcBorders>
              <w:left w:val="nil"/>
              <w:right w:val="nil"/>
            </w:tcBorders>
          </w:tcPr>
          <w:p w14:paraId="51C8171A">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0.28</w:t>
            </w:r>
          </w:p>
        </w:tc>
        <w:tc>
          <w:tcPr>
            <w:tcW w:w="761" w:type="dxa"/>
            <w:tcBorders>
              <w:left w:val="nil"/>
            </w:tcBorders>
          </w:tcPr>
          <w:p w14:paraId="5EC62D30">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252.22</w:t>
            </w:r>
          </w:p>
        </w:tc>
      </w:tr>
      <w:tr w14:paraId="6046643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3164582D">
            <w:pPr>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技能培训比例</w:t>
            </w:r>
          </w:p>
        </w:tc>
        <w:tc>
          <w:tcPr>
            <w:tcW w:w="3404" w:type="dxa"/>
            <w:tcBorders>
              <w:top w:val="nil"/>
              <w:left w:val="single" w:color="auto" w:sz="4" w:space="0"/>
              <w:bottom w:val="nil"/>
              <w:right w:val="nil"/>
            </w:tcBorders>
          </w:tcPr>
          <w:p w14:paraId="6195A27A">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村庄接受过职业技能培训的劳动力数量占比</w:t>
            </w:r>
          </w:p>
        </w:tc>
        <w:tc>
          <w:tcPr>
            <w:tcW w:w="762" w:type="dxa"/>
            <w:tcBorders>
              <w:left w:val="nil"/>
              <w:right w:val="nil"/>
            </w:tcBorders>
          </w:tcPr>
          <w:p w14:paraId="2D024D10">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r>
              <w:rPr>
                <w:rFonts w:ascii="Times New Roman" w:hAnsi="Times New Roman" w:eastAsia="宋体" w:cs="Times New Roman"/>
                <w:color w:val="000000"/>
                <w:kern w:val="0"/>
                <w:sz w:val="18"/>
                <w:szCs w:val="21"/>
              </w:rPr>
              <w:t>.25</w:t>
            </w:r>
          </w:p>
        </w:tc>
        <w:tc>
          <w:tcPr>
            <w:tcW w:w="807" w:type="dxa"/>
            <w:tcBorders>
              <w:left w:val="nil"/>
              <w:right w:val="nil"/>
            </w:tcBorders>
          </w:tcPr>
          <w:p w14:paraId="331B81B1">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r>
              <w:rPr>
                <w:rFonts w:ascii="Times New Roman" w:hAnsi="Times New Roman" w:eastAsia="宋体" w:cs="Times New Roman"/>
                <w:color w:val="000000"/>
                <w:kern w:val="0"/>
                <w:sz w:val="18"/>
                <w:szCs w:val="21"/>
              </w:rPr>
              <w:t>.23</w:t>
            </w:r>
          </w:p>
        </w:tc>
        <w:tc>
          <w:tcPr>
            <w:tcW w:w="716" w:type="dxa"/>
            <w:tcBorders>
              <w:left w:val="nil"/>
              <w:right w:val="nil"/>
            </w:tcBorders>
          </w:tcPr>
          <w:p w14:paraId="592C6E9B">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p>
        </w:tc>
        <w:tc>
          <w:tcPr>
            <w:tcW w:w="761" w:type="dxa"/>
            <w:tcBorders>
              <w:left w:val="nil"/>
            </w:tcBorders>
          </w:tcPr>
          <w:p w14:paraId="6521C3AC">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1</w:t>
            </w:r>
          </w:p>
        </w:tc>
      </w:tr>
      <w:tr w14:paraId="274C6B4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right w:val="single" w:color="auto" w:sz="4" w:space="0"/>
            </w:tcBorders>
          </w:tcPr>
          <w:p w14:paraId="7DA979DA">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是否建有电子商务</w:t>
            </w:r>
            <w:r>
              <w:rPr>
                <w:rFonts w:ascii="Times New Roman" w:hAnsi="Times New Roman" w:eastAsia="宋体" w:cs="Times New Roman"/>
                <w:color w:val="000000"/>
                <w:kern w:val="0"/>
                <w:sz w:val="18"/>
                <w:szCs w:val="21"/>
              </w:rPr>
              <w:t>服务站</w:t>
            </w:r>
            <w:r>
              <w:rPr>
                <w:rFonts w:hint="eastAsia" w:ascii="Times New Roman" w:hAnsi="Times New Roman" w:eastAsia="宋体" w:cs="Times New Roman"/>
                <w:color w:val="000000"/>
                <w:kern w:val="0"/>
                <w:sz w:val="18"/>
                <w:szCs w:val="21"/>
              </w:rPr>
              <w:t>点</w:t>
            </w:r>
          </w:p>
        </w:tc>
        <w:tc>
          <w:tcPr>
            <w:tcW w:w="3404" w:type="dxa"/>
            <w:tcBorders>
              <w:top w:val="nil"/>
              <w:left w:val="single" w:color="auto" w:sz="4" w:space="0"/>
              <w:bottom w:val="nil"/>
              <w:right w:val="nil"/>
            </w:tcBorders>
          </w:tcPr>
          <w:p w14:paraId="01FA8CEA">
            <w:pPr>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村庄</w:t>
            </w:r>
            <w:r>
              <w:rPr>
                <w:rFonts w:hint="eastAsia" w:ascii="Times New Roman" w:hAnsi="Times New Roman" w:eastAsia="宋体" w:cs="Times New Roman"/>
                <w:color w:val="000000"/>
                <w:kern w:val="0"/>
                <w:sz w:val="18"/>
                <w:szCs w:val="21"/>
              </w:rPr>
              <w:t>是否</w:t>
            </w:r>
            <w:r>
              <w:rPr>
                <w:rFonts w:ascii="Times New Roman" w:hAnsi="Times New Roman" w:eastAsia="宋体" w:cs="Times New Roman"/>
                <w:color w:val="000000"/>
                <w:kern w:val="0"/>
                <w:sz w:val="18"/>
                <w:szCs w:val="21"/>
              </w:rPr>
              <w:t>建</w:t>
            </w:r>
            <w:r>
              <w:rPr>
                <w:rFonts w:hint="eastAsia" w:ascii="Times New Roman" w:hAnsi="Times New Roman" w:eastAsia="宋体" w:cs="Times New Roman"/>
                <w:color w:val="000000"/>
                <w:kern w:val="0"/>
                <w:sz w:val="18"/>
                <w:szCs w:val="21"/>
              </w:rPr>
              <w:t>有电子商务</w:t>
            </w:r>
            <w:r>
              <w:rPr>
                <w:rFonts w:ascii="Times New Roman" w:hAnsi="Times New Roman" w:eastAsia="宋体" w:cs="Times New Roman"/>
                <w:color w:val="000000"/>
                <w:kern w:val="0"/>
                <w:sz w:val="18"/>
                <w:szCs w:val="21"/>
              </w:rPr>
              <w:t>服务站</w:t>
            </w:r>
            <w:r>
              <w:rPr>
                <w:rFonts w:hint="eastAsia" w:ascii="Times New Roman" w:hAnsi="Times New Roman" w:eastAsia="宋体" w:cs="Times New Roman"/>
                <w:color w:val="000000"/>
                <w:kern w:val="0"/>
                <w:sz w:val="18"/>
                <w:szCs w:val="21"/>
              </w:rPr>
              <w:t>点：建立</w:t>
            </w:r>
            <w:r>
              <w:rPr>
                <w:rFonts w:ascii="Times New Roman" w:hAnsi="Times New Roman" w:eastAsia="宋体" w:cs="Times New Roman"/>
                <w:color w:val="000000"/>
                <w:kern w:val="0"/>
                <w:sz w:val="18"/>
                <w:szCs w:val="21"/>
              </w:rPr>
              <w:t>当年</w:t>
            </w:r>
            <w:r>
              <w:rPr>
                <w:rFonts w:hint="eastAsia" w:ascii="Times New Roman" w:hAnsi="Times New Roman" w:eastAsia="宋体" w:cs="Times New Roman"/>
                <w:color w:val="000000"/>
                <w:kern w:val="0"/>
                <w:sz w:val="18"/>
                <w:szCs w:val="21"/>
              </w:rPr>
              <w:t>及</w:t>
            </w:r>
            <w:r>
              <w:rPr>
                <w:rFonts w:ascii="Times New Roman" w:hAnsi="Times New Roman" w:eastAsia="宋体" w:cs="Times New Roman"/>
                <w:color w:val="000000"/>
                <w:kern w:val="0"/>
                <w:sz w:val="18"/>
                <w:szCs w:val="21"/>
              </w:rPr>
              <w:t>以后各年</w:t>
            </w:r>
            <w:r>
              <w:rPr>
                <w:rFonts w:hint="eastAsia" w:ascii="Times New Roman" w:hAnsi="Times New Roman" w:eastAsia="宋体" w:cs="Times New Roman"/>
                <w:color w:val="000000"/>
                <w:kern w:val="0"/>
                <w:sz w:val="18"/>
                <w:szCs w:val="21"/>
              </w:rPr>
              <w:t>=</w:t>
            </w:r>
            <w:r>
              <w:rPr>
                <w:rFonts w:ascii="Times New Roman" w:hAnsi="Times New Roman" w:eastAsia="宋体" w:cs="Times New Roman"/>
                <w:color w:val="000000"/>
                <w:kern w:val="0"/>
                <w:sz w:val="18"/>
                <w:szCs w:val="21"/>
              </w:rPr>
              <w:t>1，</w:t>
            </w:r>
            <w:r>
              <w:rPr>
                <w:rFonts w:hint="eastAsia" w:ascii="Times New Roman" w:hAnsi="Times New Roman" w:eastAsia="宋体" w:cs="Times New Roman"/>
                <w:color w:val="000000"/>
                <w:kern w:val="0"/>
                <w:sz w:val="18"/>
                <w:szCs w:val="21"/>
              </w:rPr>
              <w:t>其他=</w:t>
            </w:r>
            <w:r>
              <w:rPr>
                <w:rFonts w:ascii="Times New Roman" w:hAnsi="Times New Roman" w:eastAsia="宋体" w:cs="Times New Roman"/>
                <w:color w:val="000000"/>
                <w:kern w:val="0"/>
                <w:sz w:val="18"/>
                <w:szCs w:val="21"/>
              </w:rPr>
              <w:t>0</w:t>
            </w:r>
          </w:p>
        </w:tc>
        <w:tc>
          <w:tcPr>
            <w:tcW w:w="762" w:type="dxa"/>
            <w:tcBorders>
              <w:left w:val="nil"/>
              <w:right w:val="nil"/>
            </w:tcBorders>
          </w:tcPr>
          <w:p w14:paraId="6EC3C461">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0.03</w:t>
            </w:r>
          </w:p>
        </w:tc>
        <w:tc>
          <w:tcPr>
            <w:tcW w:w="807" w:type="dxa"/>
            <w:tcBorders>
              <w:left w:val="nil"/>
              <w:right w:val="nil"/>
            </w:tcBorders>
          </w:tcPr>
          <w:p w14:paraId="00740E0E">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0.17</w:t>
            </w:r>
          </w:p>
        </w:tc>
        <w:tc>
          <w:tcPr>
            <w:tcW w:w="716" w:type="dxa"/>
            <w:tcBorders>
              <w:left w:val="nil"/>
              <w:right w:val="nil"/>
            </w:tcBorders>
          </w:tcPr>
          <w:p w14:paraId="52C51B49">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w:t>
            </w:r>
          </w:p>
        </w:tc>
        <w:tc>
          <w:tcPr>
            <w:tcW w:w="761" w:type="dxa"/>
            <w:tcBorders>
              <w:left w:val="nil"/>
            </w:tcBorders>
          </w:tcPr>
          <w:p w14:paraId="6B758916">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w:t>
            </w:r>
          </w:p>
        </w:tc>
      </w:tr>
      <w:tr w14:paraId="1E8E58A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bottom w:val="nil"/>
              <w:right w:val="single" w:color="auto" w:sz="4" w:space="0"/>
            </w:tcBorders>
          </w:tcPr>
          <w:p w14:paraId="3858AF02">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县域新增</w:t>
            </w:r>
            <w:r>
              <w:rPr>
                <w:rFonts w:ascii="Times New Roman" w:hAnsi="Times New Roman" w:eastAsia="宋体" w:cs="Times New Roman"/>
                <w:color w:val="000000"/>
                <w:kern w:val="0"/>
                <w:sz w:val="18"/>
                <w:szCs w:val="21"/>
              </w:rPr>
              <w:t>活跃商家数</w:t>
            </w:r>
          </w:p>
        </w:tc>
        <w:tc>
          <w:tcPr>
            <w:tcW w:w="3404" w:type="dxa"/>
            <w:tcBorders>
              <w:top w:val="nil"/>
              <w:left w:val="single" w:color="auto" w:sz="4" w:space="0"/>
              <w:bottom w:val="nil"/>
              <w:right w:val="nil"/>
            </w:tcBorders>
          </w:tcPr>
          <w:p w14:paraId="2E5B254E">
            <w:pPr>
              <w:spacing w:line="300" w:lineRule="exact"/>
              <w:rPr>
                <w:rFonts w:ascii="Times New Roman" w:hAnsi="Times New Roman" w:eastAsia="宋体" w:cs="Times New Roman"/>
                <w:color w:val="000000"/>
                <w:kern w:val="0"/>
                <w:sz w:val="18"/>
                <w:szCs w:val="21"/>
              </w:rPr>
            </w:pPr>
            <w:bookmarkStart w:id="1" w:name="_Hlk128507616"/>
            <w:r>
              <w:rPr>
                <w:rFonts w:hint="eastAsia" w:ascii="Times New Roman" w:hAnsi="Times New Roman" w:eastAsia="宋体" w:cs="Times New Roman"/>
                <w:color w:val="000000"/>
                <w:kern w:val="0"/>
                <w:sz w:val="18"/>
                <w:szCs w:val="21"/>
              </w:rPr>
              <w:t>新增活跃商家数的标准化指数</w:t>
            </w:r>
            <w:bookmarkEnd w:id="1"/>
          </w:p>
        </w:tc>
        <w:tc>
          <w:tcPr>
            <w:tcW w:w="762" w:type="dxa"/>
            <w:tcBorders>
              <w:left w:val="nil"/>
              <w:bottom w:val="nil"/>
              <w:right w:val="nil"/>
            </w:tcBorders>
          </w:tcPr>
          <w:p w14:paraId="525923C6">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1.74</w:t>
            </w:r>
          </w:p>
        </w:tc>
        <w:tc>
          <w:tcPr>
            <w:tcW w:w="807" w:type="dxa"/>
            <w:tcBorders>
              <w:left w:val="nil"/>
              <w:bottom w:val="nil"/>
              <w:right w:val="nil"/>
            </w:tcBorders>
          </w:tcPr>
          <w:p w14:paraId="20489FBF">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6</w:t>
            </w:r>
            <w:r>
              <w:rPr>
                <w:rFonts w:ascii="Times New Roman" w:hAnsi="Times New Roman" w:eastAsia="宋体" w:cs="Times New Roman"/>
                <w:color w:val="000000"/>
                <w:kern w:val="0"/>
                <w:sz w:val="18"/>
                <w:szCs w:val="21"/>
              </w:rPr>
              <w:t>.48</w:t>
            </w:r>
          </w:p>
        </w:tc>
        <w:tc>
          <w:tcPr>
            <w:tcW w:w="716" w:type="dxa"/>
            <w:tcBorders>
              <w:left w:val="nil"/>
              <w:bottom w:val="nil"/>
              <w:right w:val="nil"/>
            </w:tcBorders>
          </w:tcPr>
          <w:p w14:paraId="4CAAFD2A">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p>
        </w:tc>
        <w:tc>
          <w:tcPr>
            <w:tcW w:w="761" w:type="dxa"/>
            <w:tcBorders>
              <w:left w:val="nil"/>
              <w:bottom w:val="nil"/>
            </w:tcBorders>
          </w:tcPr>
          <w:p w14:paraId="3502AF08">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1</w:t>
            </w:r>
            <w:r>
              <w:rPr>
                <w:rFonts w:ascii="Times New Roman" w:hAnsi="Times New Roman" w:eastAsia="宋体" w:cs="Times New Roman"/>
                <w:color w:val="000000"/>
                <w:kern w:val="0"/>
                <w:sz w:val="18"/>
                <w:szCs w:val="21"/>
              </w:rPr>
              <w:t>00</w:t>
            </w:r>
          </w:p>
        </w:tc>
      </w:tr>
      <w:tr w14:paraId="342DB3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15" w:type="dxa"/>
            <w:tcBorders>
              <w:top w:val="nil"/>
              <w:bottom w:val="single" w:color="auto" w:sz="12" w:space="0"/>
              <w:right w:val="single" w:color="auto" w:sz="4" w:space="0"/>
            </w:tcBorders>
          </w:tcPr>
          <w:p w14:paraId="147BC718">
            <w:pPr>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私营企业比例</w:t>
            </w:r>
          </w:p>
        </w:tc>
        <w:tc>
          <w:tcPr>
            <w:tcW w:w="3404" w:type="dxa"/>
            <w:tcBorders>
              <w:top w:val="nil"/>
              <w:left w:val="single" w:color="auto" w:sz="4" w:space="0"/>
              <w:bottom w:val="single" w:color="auto" w:sz="12" w:space="0"/>
              <w:right w:val="nil"/>
            </w:tcBorders>
          </w:tcPr>
          <w:p w14:paraId="50A822D2">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村庄私营企业数量占村庄企业总数的比重</w:t>
            </w:r>
          </w:p>
        </w:tc>
        <w:tc>
          <w:tcPr>
            <w:tcW w:w="762" w:type="dxa"/>
            <w:tcBorders>
              <w:top w:val="nil"/>
              <w:left w:val="nil"/>
              <w:bottom w:val="single" w:color="auto" w:sz="12" w:space="0"/>
              <w:right w:val="nil"/>
            </w:tcBorders>
          </w:tcPr>
          <w:p w14:paraId="3D6C2475">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0.27</w:t>
            </w:r>
          </w:p>
        </w:tc>
        <w:tc>
          <w:tcPr>
            <w:tcW w:w="807" w:type="dxa"/>
            <w:tcBorders>
              <w:top w:val="nil"/>
              <w:left w:val="nil"/>
              <w:bottom w:val="single" w:color="auto" w:sz="12" w:space="0"/>
              <w:right w:val="nil"/>
            </w:tcBorders>
          </w:tcPr>
          <w:p w14:paraId="2956F72B">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0.41</w:t>
            </w:r>
          </w:p>
        </w:tc>
        <w:tc>
          <w:tcPr>
            <w:tcW w:w="716" w:type="dxa"/>
            <w:tcBorders>
              <w:top w:val="nil"/>
              <w:left w:val="nil"/>
              <w:bottom w:val="single" w:color="auto" w:sz="12" w:space="0"/>
              <w:right w:val="nil"/>
            </w:tcBorders>
          </w:tcPr>
          <w:p w14:paraId="7D4692E4">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w:t>
            </w:r>
          </w:p>
        </w:tc>
        <w:tc>
          <w:tcPr>
            <w:tcW w:w="761" w:type="dxa"/>
            <w:tcBorders>
              <w:top w:val="nil"/>
              <w:left w:val="nil"/>
              <w:bottom w:val="single" w:color="auto" w:sz="12" w:space="0"/>
            </w:tcBorders>
          </w:tcPr>
          <w:p w14:paraId="3F1B1849">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w:t>
            </w:r>
          </w:p>
        </w:tc>
      </w:tr>
    </w:tbl>
    <w:p w14:paraId="01825F5A">
      <w:pPr>
        <w:autoSpaceDE w:val="0"/>
        <w:autoSpaceDN w:val="0"/>
        <w:spacing w:line="240" w:lineRule="atLeast"/>
        <w:rPr>
          <w:rFonts w:ascii="黑体" w:hAnsi="黑体" w:eastAsia="黑体" w:cs="Times New Roman"/>
          <w:color w:val="000000"/>
          <w:kern w:val="0"/>
          <w:szCs w:val="21"/>
        </w:rPr>
      </w:pPr>
    </w:p>
    <w:p w14:paraId="71A96775">
      <w:pPr>
        <w:autoSpaceDE w:val="0"/>
        <w:autoSpaceDN w:val="0"/>
        <w:spacing w:line="240" w:lineRule="atLeast"/>
        <w:rPr>
          <w:rFonts w:ascii="黑体" w:hAnsi="黑体" w:eastAsia="黑体" w:cs="Times New Roman"/>
          <w:color w:val="FF0000"/>
          <w:kern w:val="0"/>
          <w:szCs w:val="21"/>
        </w:rPr>
      </w:pPr>
      <w:r>
        <w:rPr>
          <w:rFonts w:hint="eastAsia" w:ascii="黑体" w:hAnsi="黑体" w:eastAsia="黑体" w:cs="Times New Roman"/>
          <w:color w:val="FF0000"/>
          <w:kern w:val="0"/>
          <w:szCs w:val="21"/>
        </w:rPr>
        <w:t>【变量表规范】</w:t>
      </w:r>
    </w:p>
    <w:p w14:paraId="3406F44B">
      <w:pPr>
        <w:autoSpaceDE w:val="0"/>
        <w:autoSpaceDN w:val="0"/>
        <w:spacing w:line="240" w:lineRule="atLeast"/>
        <w:ind w:firstLine="392" w:firstLineChars="200"/>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1.表格内容中文为宋体，英文和数字为Times New Roman，字号为小五。</w:t>
      </w:r>
    </w:p>
    <w:p w14:paraId="6DCB696B">
      <w:pPr>
        <w:autoSpaceDE w:val="0"/>
        <w:autoSpaceDN w:val="0"/>
        <w:spacing w:line="240" w:lineRule="atLeast"/>
        <w:ind w:firstLine="392" w:firstLineChars="200"/>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2.表格的上下横线为1.5磅，其余横竖线都为0.5磅。表格段落行距为固定值15磅，行高为0.56厘米。</w:t>
      </w:r>
    </w:p>
    <w:p w14:paraId="25F066CF">
      <w:pPr>
        <w:autoSpaceDE w:val="0"/>
        <w:autoSpaceDN w:val="0"/>
        <w:spacing w:line="240" w:lineRule="atLeast"/>
        <w:ind w:firstLine="392" w:firstLineChars="200"/>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3</w:t>
      </w:r>
      <w:r>
        <w:rPr>
          <w:rFonts w:ascii="Times New Roman" w:hAnsi="Times New Roman" w:eastAsia="宋体" w:cs="Times New Roman"/>
          <w:color w:val="FF0000"/>
          <w:kern w:val="0"/>
          <w:szCs w:val="21"/>
        </w:rPr>
        <w:t>.</w:t>
      </w:r>
      <w:r>
        <w:rPr>
          <w:rFonts w:hint="eastAsia" w:ascii="Times New Roman" w:hAnsi="Times New Roman" w:eastAsia="宋体" w:cs="Times New Roman"/>
          <w:color w:val="FF0000"/>
          <w:kern w:val="0"/>
          <w:szCs w:val="21"/>
        </w:rPr>
        <w:t>变量名称须用中文，尽量简洁。变量表中变量名称和出现顺序须与正文中完全一致。</w:t>
      </w:r>
    </w:p>
    <w:p w14:paraId="2FE7849A">
      <w:pPr>
        <w:autoSpaceDE w:val="0"/>
        <w:autoSpaceDN w:val="0"/>
        <w:spacing w:line="240" w:lineRule="atLeast"/>
        <w:ind w:firstLine="392" w:firstLineChars="200"/>
        <w:rPr>
          <w:rFonts w:ascii="黑体" w:hAnsi="黑体" w:eastAsia="黑体" w:cs="Times New Roman"/>
          <w:color w:val="FF0000"/>
          <w:kern w:val="0"/>
          <w:szCs w:val="21"/>
        </w:rPr>
      </w:pPr>
      <w:r>
        <w:rPr>
          <w:rFonts w:ascii="Times New Roman" w:hAnsi="Times New Roman" w:eastAsia="宋体" w:cs="Times New Roman"/>
          <w:color w:val="FF0000"/>
          <w:kern w:val="0"/>
          <w:szCs w:val="21"/>
        </w:rPr>
        <w:t>4.</w:t>
      </w:r>
      <w:r>
        <w:rPr>
          <w:rFonts w:hint="eastAsia" w:ascii="Times New Roman" w:hAnsi="Times New Roman" w:eastAsia="宋体" w:cs="Times New Roman"/>
          <w:color w:val="FF0000"/>
          <w:kern w:val="0"/>
          <w:szCs w:val="21"/>
        </w:rPr>
        <w:t>变量定义和赋值：①用括号注明单位。②对于数值型变量，描述性统计中展示绝对值，不展示对数值。如果回归中用的是变量的对数值，可在变量表下方以表注形式说明。</w:t>
      </w:r>
    </w:p>
    <w:p w14:paraId="6FA396D2">
      <w:pPr>
        <w:autoSpaceDE w:val="0"/>
        <w:autoSpaceDN w:val="0"/>
        <w:spacing w:line="240" w:lineRule="atLeast"/>
        <w:ind w:firstLine="392" w:firstLineChars="200"/>
        <w:rPr>
          <w:rFonts w:ascii="黑体" w:hAnsi="黑体" w:eastAsia="黑体" w:cs="Times New Roman"/>
          <w:color w:val="000000"/>
          <w:kern w:val="0"/>
          <w:szCs w:val="21"/>
        </w:rPr>
      </w:pPr>
    </w:p>
    <w:p w14:paraId="34D3BB71">
      <w:pPr>
        <w:autoSpaceDE w:val="0"/>
        <w:autoSpaceDN w:val="0"/>
        <w:spacing w:line="240" w:lineRule="atLeast"/>
        <w:ind w:firstLine="392" w:firstLineChars="200"/>
        <w:rPr>
          <w:rFonts w:ascii="黑体" w:hAnsi="黑体" w:eastAsia="黑体" w:cs="Times New Roman"/>
          <w:color w:val="000000"/>
          <w:kern w:val="0"/>
          <w:szCs w:val="21"/>
        </w:rPr>
      </w:pPr>
    </w:p>
    <w:p w14:paraId="62AE5572">
      <w:pPr>
        <w:spacing w:line="240" w:lineRule="atLeast"/>
        <w:ind w:firstLine="392" w:firstLineChars="200"/>
        <w:rPr>
          <w:rFonts w:ascii="Times New Roman" w:hAnsi="Times New Roman" w:eastAsia="宋体" w:cs="Times New Roman"/>
          <w:color w:val="000000"/>
          <w:szCs w:val="22"/>
        </w:rPr>
      </w:pPr>
      <w:bookmarkStart w:id="2" w:name="_Hlk85661175"/>
      <w:r>
        <w:rPr>
          <w:rFonts w:ascii="Times New Roman" w:hAnsi="Times New Roman" w:eastAsia="宋体" w:cs="Times New Roman"/>
          <w:color w:val="000000"/>
          <w:szCs w:val="21"/>
        </w:rPr>
        <w:t>模型具体设定如下：</w:t>
      </w:r>
    </w:p>
    <w:bookmarkEnd w:id="2"/>
    <w:p w14:paraId="0B449106">
      <w:pPr>
        <w:spacing w:line="240" w:lineRule="atLeast"/>
        <w:jc w:val="right"/>
        <w:rPr>
          <w:rFonts w:ascii="宋体" w:hAnsi="宋体" w:eastAsia="宋体" w:cs="Times New Roman"/>
          <w:color w:val="000000"/>
          <w:szCs w:val="21"/>
        </w:rPr>
      </w:pPr>
      <w:bookmarkStart w:id="3" w:name="_Hlk85840304"/>
      <w:r>
        <w:rPr>
          <w:rFonts w:ascii="宋体" w:hAnsi="宋体" w:eastAsia="宋体" w:cs="Times New Roman"/>
          <w:color w:val="000000"/>
          <w:szCs w:val="22"/>
        </w:rPr>
        <w:t xml:space="preserve">             </w:t>
      </w:r>
      <w:r>
        <w:rPr>
          <w:rFonts w:ascii="宋体" w:hAnsi="宋体" w:eastAsia="宋体" w:cs="Times New Roman"/>
          <w:color w:val="000000"/>
          <w:position w:val="-14"/>
          <w:szCs w:val="22"/>
        </w:rPr>
        <w:object>
          <v:shape id="_x0000_i1025" o:spt="75" type="#_x0000_t75" style="height:22.15pt;width:293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eastAsia="宋体" w:cs="Times New Roman"/>
          <w:color w:val="000000"/>
          <w:szCs w:val="22"/>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ascii="Times New Roman" w:hAnsi="Times New Roman" w:eastAsia="宋体" w:cs="Times New Roman"/>
          <w:color w:val="000000"/>
          <w:szCs w:val="21"/>
        </w:rPr>
        <w:t>1</w:t>
      </w:r>
      <w:r>
        <w:rPr>
          <w:rFonts w:ascii="宋体" w:hAnsi="宋体" w:eastAsia="宋体" w:cs="Times New Roman"/>
          <w:color w:val="000000"/>
          <w:szCs w:val="21"/>
        </w:rPr>
        <w:t>）</w:t>
      </w:r>
    </w:p>
    <w:p w14:paraId="3B6EFFF9">
      <w:pPr>
        <w:numPr>
          <w:ilvl w:val="255"/>
          <w:numId w:val="0"/>
        </w:numPr>
        <w:autoSpaceDE w:val="0"/>
        <w:autoSpaceDN w:val="0"/>
        <w:spacing w:line="340" w:lineRule="exact"/>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（数学公式和正文中的变量或指标代码须用mathtype软件输入，正文中字号为12pt，表格和脚注中字号为10pt，变量均用斜体，公式居中排列，公式编号右对齐）</w:t>
      </w:r>
    </w:p>
    <w:p w14:paraId="307CD949">
      <w:pPr>
        <w:keepNext w:val="0"/>
        <w:keepLines w:val="0"/>
        <w:pageBreakBefore w:val="0"/>
        <w:widowControl w:val="0"/>
        <w:numPr>
          <w:ilvl w:val="255"/>
          <w:numId w:val="0"/>
        </w:numPr>
        <w:kinsoku/>
        <w:wordWrap/>
        <w:overflowPunct/>
        <w:topLinePunct w:val="0"/>
        <w:autoSpaceDE w:val="0"/>
        <w:autoSpaceDN w:val="0"/>
        <w:bidi w:val="0"/>
        <w:adjustRightInd/>
        <w:snapToGrid w:val="0"/>
        <w:spacing w:line="240" w:lineRule="atLeast"/>
        <w:ind w:firstLine="392" w:firstLineChars="200"/>
        <w:textAlignment w:val="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式中</w:t>
      </w: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position w:val="-14"/>
          <w:szCs w:val="21"/>
        </w:rPr>
        <w:object>
          <v:shape id="_x0000_i1026" o:spt="75" type="#_x0000_t75" style="height:19.15pt;width:16.9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eastAsia="宋体" w:cs="Times New Roman"/>
          <w:color w:val="000000"/>
          <w:szCs w:val="21"/>
        </w:rPr>
        <w:t>为被解释变量</w:t>
      </w:r>
      <w:r>
        <w:rPr>
          <w:rFonts w:hint="eastAsia" w:ascii="Times New Roman" w:hAnsi="Times New Roman" w:eastAsia="宋体" w:cs="Times New Roman"/>
          <w:color w:val="000000"/>
          <w:szCs w:val="21"/>
        </w:rPr>
        <w:t>，表示</w:t>
      </w:r>
      <w:r>
        <w:rPr>
          <w:rFonts w:hint="eastAsia" w:ascii="Times New Roman" w:hAnsi="Times New Roman" w:eastAsia="宋体" w:cs="Times New Roman"/>
          <w:color w:val="000000"/>
          <w:position w:val="-10"/>
          <w:szCs w:val="21"/>
        </w:rPr>
        <w:object>
          <v:shape id="_x0000_i1027" o:spt="75" type="#_x0000_t75" style="height:15pt;width:10.1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eastAsia="宋体" w:cs="Times New Roman"/>
          <w:color w:val="000000"/>
          <w:szCs w:val="21"/>
        </w:rPr>
        <w:t>县的</w:t>
      </w:r>
      <w:bookmarkStart w:id="4" w:name="_Hlk85708095"/>
      <w:r>
        <w:rPr>
          <w:rFonts w:hint="eastAsia" w:ascii="Times New Roman" w:hAnsi="Times New Roman" w:eastAsia="宋体" w:cs="Times New Roman"/>
          <w:color w:val="000000"/>
          <w:szCs w:val="21"/>
        </w:rPr>
        <w:t>村庄</w:t>
      </w:r>
      <w:bookmarkEnd w:id="4"/>
      <w:r>
        <w:rPr>
          <w:rFonts w:hint="eastAsia" w:ascii="Times New Roman" w:hAnsi="Times New Roman" w:eastAsia="宋体" w:cs="Times New Roman"/>
          <w:color w:val="000000"/>
          <w:position w:val="-6"/>
          <w:szCs w:val="21"/>
        </w:rPr>
        <w:object>
          <v:shape id="_x0000_i1028" o:spt="75" type="#_x0000_t75" style="height:12.75pt;width:6.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宋体" w:cs="Times New Roman"/>
          <w:color w:val="000000"/>
          <w:szCs w:val="21"/>
        </w:rPr>
        <w:t>在</w:t>
      </w:r>
      <w:r>
        <w:rPr>
          <w:rFonts w:ascii="Times New Roman" w:hAnsi="Times New Roman" w:eastAsia="宋体" w:cs="Times New Roman"/>
          <w:color w:val="000000"/>
          <w:position w:val="-6"/>
          <w:szCs w:val="21"/>
        </w:rPr>
        <w:object>
          <v:shape id="_x0000_i1029" o:spt="75" type="#_x0000_t75" style="height:12.4pt;width:6.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eastAsia="宋体" w:cs="Times New Roman"/>
          <w:color w:val="000000"/>
          <w:szCs w:val="21"/>
        </w:rPr>
        <w:t>年</w:t>
      </w:r>
      <w:r>
        <w:rPr>
          <w:rFonts w:hint="eastAsia" w:ascii="Times New Roman" w:hAnsi="Times New Roman" w:eastAsia="宋体" w:cs="Times New Roman"/>
          <w:color w:val="000000"/>
          <w:szCs w:val="21"/>
        </w:rPr>
        <w:t>的外出劳动力占比；</w:t>
      </w:r>
      <w:r>
        <w:rPr>
          <w:rFonts w:hint="eastAsia" w:ascii="Times New Roman" w:hAnsi="Times New Roman" w:eastAsia="宋体" w:cs="Times New Roman"/>
          <w:color w:val="000000"/>
          <w:position w:val="-14"/>
          <w:szCs w:val="21"/>
        </w:rPr>
        <w:object>
          <v:shape id="_x0000_i1030" o:spt="75" type="#_x0000_t75" style="height:19.15pt;width:66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ascii="Times New Roman" w:hAnsi="Times New Roman" w:eastAsia="宋体" w:cs="Times New Roman"/>
          <w:color w:val="000000"/>
          <w:szCs w:val="21"/>
        </w:rPr>
        <w:t>为核</w:t>
      </w:r>
    </w:p>
    <w:p w14:paraId="0D39B2BA">
      <w:pPr>
        <w:keepNext w:val="0"/>
        <w:keepLines w:val="0"/>
        <w:pageBreakBefore w:val="0"/>
        <w:widowControl w:val="0"/>
        <w:numPr>
          <w:ilvl w:val="255"/>
          <w:numId w:val="0"/>
        </w:numPr>
        <w:kinsoku/>
        <w:wordWrap/>
        <w:overflowPunct/>
        <w:topLinePunct w:val="0"/>
        <w:autoSpaceDE w:val="0"/>
        <w:autoSpaceDN w:val="0"/>
        <w:bidi w:val="0"/>
        <w:adjustRightInd/>
        <w:snapToGrid/>
        <w:spacing w:line="240" w:lineRule="atLeast"/>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心解释变量，用于反映“电子商务进农村综合示范”政策实施的外生冲击；……</w:t>
      </w:r>
      <w:r>
        <w:rPr>
          <w:rFonts w:hint="eastAsia" w:ascii="Times New Roman" w:hAnsi="Times New Roman" w:eastAsia="宋体" w:cs="Times New Roman"/>
          <w:color w:val="FF0000"/>
          <w:szCs w:val="21"/>
        </w:rPr>
        <w:t>（公式中每个符号都需在正文中说明含义，公式在正文中的说法为“（1）式”“（2）式”等）</w:t>
      </w:r>
    </w:p>
    <w:p w14:paraId="1D5AE9DF">
      <w:pPr>
        <w:numPr>
          <w:ilvl w:val="255"/>
          <w:numId w:val="0"/>
        </w:numPr>
        <w:autoSpaceDE w:val="0"/>
        <w:autoSpaceDN w:val="0"/>
        <w:spacing w:line="240" w:lineRule="atLeast"/>
        <w:ind w:firstLine="392" w:firstLineChars="200"/>
        <w:rPr>
          <w:rFonts w:ascii="Times New Roman" w:hAnsi="Times New Roman" w:eastAsia="宋体" w:cs="Times New Roman"/>
          <w:color w:val="000000"/>
          <w:szCs w:val="21"/>
        </w:rPr>
      </w:pPr>
    </w:p>
    <w:bookmarkEnd w:id="3"/>
    <w:p w14:paraId="347A5E2D">
      <w:pPr>
        <w:spacing w:line="240" w:lineRule="atLeast"/>
        <w:ind w:firstLine="332" w:firstLineChars="200"/>
        <w:rPr>
          <w:rFonts w:ascii="Times New Roman" w:hAnsi="Times New Roman" w:eastAsia="黑体" w:cs="Times New Roman"/>
          <w:bCs/>
          <w:color w:val="000000"/>
          <w:sz w:val="18"/>
          <w:szCs w:val="18"/>
        </w:rPr>
      </w:pPr>
      <w:r>
        <w:rPr>
          <w:rFonts w:hint="eastAsia" w:ascii="Times New Roman" w:hAnsi="Times New Roman" w:eastAsia="黑体" w:cs="Times New Roman"/>
          <w:bCs/>
          <w:color w:val="000000"/>
          <w:sz w:val="18"/>
          <w:szCs w:val="18"/>
        </w:rPr>
        <w:t>表</w:t>
      </w:r>
      <w:r>
        <w:rPr>
          <w:rFonts w:ascii="Times New Roman" w:hAnsi="Times New Roman" w:eastAsia="黑体" w:cs="Times New Roman"/>
          <w:bCs/>
          <w:color w:val="000000"/>
          <w:sz w:val="18"/>
          <w:szCs w:val="18"/>
        </w:rPr>
        <w:t xml:space="preserve">2 </w:t>
      </w:r>
      <w:r>
        <w:rPr>
          <w:rFonts w:hint="eastAsia" w:ascii="Times New Roman" w:hAnsi="Times New Roman" w:eastAsia="黑体" w:cs="Times New Roman"/>
          <w:bCs/>
          <w:color w:val="000000"/>
          <w:sz w:val="18"/>
          <w:szCs w:val="18"/>
        </w:rPr>
        <w:t xml:space="preserve">                      政策实施对外出劳动力占比影响的基准回归结果</w:t>
      </w:r>
    </w:p>
    <w:tbl>
      <w:tblPr>
        <w:tblStyle w:val="17"/>
        <w:tblW w:w="8662" w:type="dxa"/>
        <w:jc w:val="center"/>
        <w:tblLayout w:type="fixed"/>
        <w:tblCellMar>
          <w:top w:w="0" w:type="dxa"/>
          <w:left w:w="75" w:type="dxa"/>
          <w:bottom w:w="0" w:type="dxa"/>
          <w:right w:w="75" w:type="dxa"/>
        </w:tblCellMar>
      </w:tblPr>
      <w:tblGrid>
        <w:gridCol w:w="2500"/>
        <w:gridCol w:w="1026"/>
        <w:gridCol w:w="1027"/>
        <w:gridCol w:w="1026"/>
        <w:gridCol w:w="1027"/>
        <w:gridCol w:w="1026"/>
        <w:gridCol w:w="1030"/>
      </w:tblGrid>
      <w:tr w14:paraId="1F82B1AE">
        <w:tblPrEx>
          <w:tblCellMar>
            <w:top w:w="0" w:type="dxa"/>
            <w:left w:w="75" w:type="dxa"/>
            <w:bottom w:w="0" w:type="dxa"/>
            <w:right w:w="75" w:type="dxa"/>
          </w:tblCellMar>
        </w:tblPrEx>
        <w:trPr>
          <w:trHeight w:val="317" w:hRule="atLeast"/>
          <w:jc w:val="center"/>
        </w:trPr>
        <w:tc>
          <w:tcPr>
            <w:tcW w:w="2500" w:type="dxa"/>
            <w:vMerge w:val="restart"/>
            <w:tcBorders>
              <w:top w:val="single" w:color="auto" w:sz="12" w:space="0"/>
              <w:left w:val="nil"/>
              <w:right w:val="single" w:color="auto" w:sz="4" w:space="0"/>
            </w:tcBorders>
            <w:vAlign w:val="center"/>
          </w:tcPr>
          <w:p w14:paraId="28EF4B5D">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变量</w:t>
            </w:r>
          </w:p>
        </w:tc>
        <w:tc>
          <w:tcPr>
            <w:tcW w:w="6162" w:type="dxa"/>
            <w:gridSpan w:val="6"/>
            <w:tcBorders>
              <w:top w:val="single" w:color="auto" w:sz="12" w:space="0"/>
              <w:left w:val="single" w:color="auto" w:sz="4" w:space="0"/>
              <w:bottom w:val="single" w:color="auto" w:sz="4" w:space="0"/>
            </w:tcBorders>
          </w:tcPr>
          <w:p w14:paraId="5F328FC1">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被解释变量：外出劳动力占比</w:t>
            </w:r>
          </w:p>
        </w:tc>
      </w:tr>
      <w:tr w14:paraId="65B7D48B">
        <w:tblPrEx>
          <w:tblCellMar>
            <w:top w:w="0" w:type="dxa"/>
            <w:left w:w="75" w:type="dxa"/>
            <w:bottom w:w="0" w:type="dxa"/>
            <w:right w:w="75" w:type="dxa"/>
          </w:tblCellMar>
        </w:tblPrEx>
        <w:trPr>
          <w:trHeight w:val="317" w:hRule="atLeast"/>
          <w:jc w:val="center"/>
        </w:trPr>
        <w:tc>
          <w:tcPr>
            <w:tcW w:w="2500" w:type="dxa"/>
            <w:vMerge w:val="continue"/>
            <w:tcBorders>
              <w:left w:val="nil"/>
              <w:right w:val="single" w:color="auto" w:sz="4" w:space="0"/>
            </w:tcBorders>
          </w:tcPr>
          <w:p w14:paraId="1EAFD025">
            <w:pPr>
              <w:autoSpaceDE w:val="0"/>
              <w:autoSpaceDN w:val="0"/>
              <w:spacing w:line="300" w:lineRule="exact"/>
              <w:rPr>
                <w:rFonts w:ascii="Times New Roman" w:hAnsi="Times New Roman" w:eastAsia="宋体" w:cs="Times New Roman"/>
                <w:color w:val="auto"/>
                <w:kern w:val="0"/>
                <w:sz w:val="18"/>
                <w:szCs w:val="18"/>
              </w:rPr>
            </w:pPr>
          </w:p>
        </w:tc>
        <w:tc>
          <w:tcPr>
            <w:tcW w:w="2053" w:type="dxa"/>
            <w:gridSpan w:val="2"/>
            <w:tcBorders>
              <w:top w:val="single" w:color="auto" w:sz="4" w:space="0"/>
              <w:left w:val="single" w:color="auto" w:sz="4" w:space="0"/>
              <w:bottom w:val="single" w:color="auto" w:sz="4" w:space="0"/>
              <w:right w:val="single" w:color="auto" w:sz="4" w:space="0"/>
            </w:tcBorders>
          </w:tcPr>
          <w:p w14:paraId="1C050CB9">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回归1</w:t>
            </w:r>
          </w:p>
        </w:tc>
        <w:tc>
          <w:tcPr>
            <w:tcW w:w="2053" w:type="dxa"/>
            <w:gridSpan w:val="2"/>
            <w:tcBorders>
              <w:top w:val="single" w:color="auto" w:sz="4" w:space="0"/>
              <w:left w:val="single" w:color="auto" w:sz="4" w:space="0"/>
              <w:bottom w:val="single" w:color="auto" w:sz="4" w:space="0"/>
              <w:right w:val="single" w:color="auto" w:sz="4" w:space="0"/>
            </w:tcBorders>
          </w:tcPr>
          <w:p w14:paraId="715F6303">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回归2</w:t>
            </w:r>
          </w:p>
        </w:tc>
        <w:tc>
          <w:tcPr>
            <w:tcW w:w="2056" w:type="dxa"/>
            <w:gridSpan w:val="2"/>
            <w:tcBorders>
              <w:top w:val="single" w:color="auto" w:sz="4" w:space="0"/>
              <w:left w:val="single" w:color="auto" w:sz="4" w:space="0"/>
              <w:bottom w:val="single" w:color="auto" w:sz="4" w:space="0"/>
            </w:tcBorders>
          </w:tcPr>
          <w:p w14:paraId="15307BA5">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回归3</w:t>
            </w:r>
          </w:p>
        </w:tc>
      </w:tr>
      <w:tr w14:paraId="57C85F27">
        <w:tblPrEx>
          <w:tblCellMar>
            <w:top w:w="0" w:type="dxa"/>
            <w:left w:w="75" w:type="dxa"/>
            <w:bottom w:w="0" w:type="dxa"/>
            <w:right w:w="75" w:type="dxa"/>
          </w:tblCellMar>
        </w:tblPrEx>
        <w:trPr>
          <w:trHeight w:val="317" w:hRule="atLeast"/>
          <w:jc w:val="center"/>
        </w:trPr>
        <w:tc>
          <w:tcPr>
            <w:tcW w:w="2500" w:type="dxa"/>
            <w:vMerge w:val="continue"/>
            <w:tcBorders>
              <w:left w:val="nil"/>
              <w:bottom w:val="single" w:color="auto" w:sz="4" w:space="0"/>
              <w:right w:val="single" w:color="auto" w:sz="4" w:space="0"/>
            </w:tcBorders>
          </w:tcPr>
          <w:p w14:paraId="68CBB59A">
            <w:pPr>
              <w:autoSpaceDE w:val="0"/>
              <w:autoSpaceDN w:val="0"/>
              <w:spacing w:line="300" w:lineRule="exact"/>
              <w:rPr>
                <w:rFonts w:ascii="Times New Roman" w:hAnsi="Times New Roman" w:eastAsia="宋体" w:cs="Times New Roman"/>
                <w:color w:val="auto"/>
                <w:kern w:val="0"/>
                <w:sz w:val="18"/>
                <w:szCs w:val="18"/>
              </w:rPr>
            </w:pPr>
          </w:p>
        </w:tc>
        <w:tc>
          <w:tcPr>
            <w:tcW w:w="1026" w:type="dxa"/>
            <w:tcBorders>
              <w:top w:val="single" w:color="auto" w:sz="4" w:space="0"/>
              <w:left w:val="single" w:color="auto" w:sz="4" w:space="0"/>
              <w:bottom w:val="single" w:color="auto" w:sz="4" w:space="0"/>
              <w:right w:val="nil"/>
            </w:tcBorders>
          </w:tcPr>
          <w:p w14:paraId="24A60EE8">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系数</w:t>
            </w:r>
          </w:p>
        </w:tc>
        <w:tc>
          <w:tcPr>
            <w:tcW w:w="1027" w:type="dxa"/>
            <w:tcBorders>
              <w:top w:val="single" w:color="auto" w:sz="4" w:space="0"/>
              <w:left w:val="nil"/>
              <w:bottom w:val="single" w:color="auto" w:sz="4" w:space="0"/>
              <w:right w:val="single" w:color="auto" w:sz="4" w:space="0"/>
            </w:tcBorders>
          </w:tcPr>
          <w:p w14:paraId="6A9FF799">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稳健标准误</w:t>
            </w:r>
          </w:p>
        </w:tc>
        <w:tc>
          <w:tcPr>
            <w:tcW w:w="1026" w:type="dxa"/>
            <w:tcBorders>
              <w:top w:val="single" w:color="auto" w:sz="4" w:space="0"/>
              <w:left w:val="single" w:color="auto" w:sz="4" w:space="0"/>
              <w:bottom w:val="single" w:color="auto" w:sz="4" w:space="0"/>
              <w:right w:val="nil"/>
            </w:tcBorders>
          </w:tcPr>
          <w:p w14:paraId="7CE49D2E">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系数</w:t>
            </w:r>
          </w:p>
        </w:tc>
        <w:tc>
          <w:tcPr>
            <w:tcW w:w="1027" w:type="dxa"/>
            <w:tcBorders>
              <w:top w:val="single" w:color="auto" w:sz="4" w:space="0"/>
              <w:left w:val="nil"/>
              <w:bottom w:val="single" w:color="auto" w:sz="4" w:space="0"/>
              <w:right w:val="single" w:color="auto" w:sz="4" w:space="0"/>
            </w:tcBorders>
          </w:tcPr>
          <w:p w14:paraId="21102B74">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稳健标准误</w:t>
            </w:r>
          </w:p>
        </w:tc>
        <w:tc>
          <w:tcPr>
            <w:tcW w:w="1026" w:type="dxa"/>
            <w:tcBorders>
              <w:top w:val="single" w:color="auto" w:sz="4" w:space="0"/>
              <w:left w:val="single" w:color="auto" w:sz="4" w:space="0"/>
              <w:bottom w:val="single" w:color="auto" w:sz="4" w:space="0"/>
              <w:right w:val="nil"/>
            </w:tcBorders>
          </w:tcPr>
          <w:p w14:paraId="112234BB">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系数</w:t>
            </w:r>
          </w:p>
        </w:tc>
        <w:tc>
          <w:tcPr>
            <w:tcW w:w="1030" w:type="dxa"/>
            <w:tcBorders>
              <w:top w:val="single" w:color="auto" w:sz="4" w:space="0"/>
              <w:left w:val="nil"/>
              <w:bottom w:val="single" w:color="auto" w:sz="4" w:space="0"/>
              <w:right w:val="nil"/>
            </w:tcBorders>
          </w:tcPr>
          <w:p w14:paraId="34437424">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稳健标准误</w:t>
            </w:r>
          </w:p>
        </w:tc>
      </w:tr>
      <w:tr w14:paraId="218F99C1">
        <w:tblPrEx>
          <w:tblCellMar>
            <w:top w:w="0" w:type="dxa"/>
            <w:left w:w="75" w:type="dxa"/>
            <w:bottom w:w="0" w:type="dxa"/>
            <w:right w:w="75" w:type="dxa"/>
          </w:tblCellMar>
        </w:tblPrEx>
        <w:trPr>
          <w:trHeight w:val="317" w:hRule="atLeast"/>
          <w:jc w:val="center"/>
        </w:trPr>
        <w:tc>
          <w:tcPr>
            <w:tcW w:w="2500" w:type="dxa"/>
            <w:tcBorders>
              <w:top w:val="single" w:color="auto" w:sz="4" w:space="0"/>
              <w:left w:val="nil"/>
              <w:bottom w:val="nil"/>
              <w:right w:val="single" w:color="auto" w:sz="4" w:space="0"/>
            </w:tcBorders>
          </w:tcPr>
          <w:p w14:paraId="39F17BA1">
            <w:pPr>
              <w:autoSpaceDE w:val="0"/>
              <w:autoSpaceDN w:val="0"/>
              <w:spacing w:line="300" w:lineRule="exac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电子商务</w:t>
            </w:r>
            <w:r>
              <w:rPr>
                <w:rFonts w:ascii="Times New Roman" w:hAnsi="Times New Roman" w:eastAsia="宋体" w:cs="Times New Roman"/>
                <w:color w:val="auto"/>
                <w:kern w:val="0"/>
                <w:sz w:val="18"/>
                <w:szCs w:val="18"/>
              </w:rPr>
              <w:t>进农村综合示范</w:t>
            </w:r>
          </w:p>
        </w:tc>
        <w:tc>
          <w:tcPr>
            <w:tcW w:w="1026" w:type="dxa"/>
            <w:tcBorders>
              <w:top w:val="single" w:color="auto" w:sz="4" w:space="0"/>
              <w:left w:val="single" w:color="auto" w:sz="4" w:space="0"/>
              <w:bottom w:val="nil"/>
              <w:right w:val="nil"/>
            </w:tcBorders>
          </w:tcPr>
          <w:p w14:paraId="2A4E892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0.028</w:t>
            </w:r>
            <w:r>
              <w:rPr>
                <w:rFonts w:ascii="Times New Roman" w:hAnsi="Times New Roman" w:eastAsia="宋体" w:cs="Times New Roman"/>
                <w:color w:val="auto"/>
                <w:kern w:val="0"/>
                <w:sz w:val="18"/>
                <w:szCs w:val="18"/>
                <w:vertAlign w:val="superscript"/>
              </w:rPr>
              <w:t>*</w:t>
            </w:r>
          </w:p>
        </w:tc>
        <w:tc>
          <w:tcPr>
            <w:tcW w:w="1027" w:type="dxa"/>
            <w:tcBorders>
              <w:top w:val="single" w:color="auto" w:sz="4" w:space="0"/>
              <w:left w:val="nil"/>
              <w:bottom w:val="nil"/>
              <w:right w:val="single" w:color="auto" w:sz="4" w:space="0"/>
            </w:tcBorders>
          </w:tcPr>
          <w:p w14:paraId="499A1266">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0.015</w:t>
            </w:r>
          </w:p>
        </w:tc>
        <w:tc>
          <w:tcPr>
            <w:tcW w:w="1026" w:type="dxa"/>
            <w:tcBorders>
              <w:top w:val="single" w:color="auto" w:sz="4" w:space="0"/>
              <w:left w:val="single" w:color="auto" w:sz="4" w:space="0"/>
              <w:bottom w:val="nil"/>
              <w:right w:val="nil"/>
            </w:tcBorders>
          </w:tcPr>
          <w:p w14:paraId="7F3C955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0.029</w:t>
            </w:r>
            <w:r>
              <w:rPr>
                <w:rFonts w:ascii="Times New Roman" w:hAnsi="Times New Roman" w:eastAsia="宋体" w:cs="Times New Roman"/>
                <w:color w:val="auto"/>
                <w:kern w:val="0"/>
                <w:sz w:val="18"/>
                <w:szCs w:val="18"/>
                <w:vertAlign w:val="superscript"/>
              </w:rPr>
              <w:t>*</w:t>
            </w:r>
          </w:p>
        </w:tc>
        <w:tc>
          <w:tcPr>
            <w:tcW w:w="1027" w:type="dxa"/>
            <w:tcBorders>
              <w:top w:val="single" w:color="auto" w:sz="4" w:space="0"/>
              <w:left w:val="nil"/>
              <w:bottom w:val="nil"/>
              <w:right w:val="single" w:color="auto" w:sz="4" w:space="0"/>
            </w:tcBorders>
          </w:tcPr>
          <w:p w14:paraId="5EEB386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0.015</w:t>
            </w:r>
          </w:p>
        </w:tc>
        <w:tc>
          <w:tcPr>
            <w:tcW w:w="1026" w:type="dxa"/>
            <w:tcBorders>
              <w:top w:val="single" w:color="auto" w:sz="4" w:space="0"/>
              <w:left w:val="single" w:color="auto" w:sz="4" w:space="0"/>
              <w:bottom w:val="nil"/>
              <w:right w:val="nil"/>
            </w:tcBorders>
          </w:tcPr>
          <w:p w14:paraId="0C1314BF">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0.029</w:t>
            </w:r>
            <w:r>
              <w:rPr>
                <w:rFonts w:ascii="Times New Roman" w:hAnsi="Times New Roman" w:eastAsia="宋体" w:cs="Times New Roman"/>
                <w:color w:val="auto"/>
                <w:kern w:val="0"/>
                <w:sz w:val="18"/>
                <w:szCs w:val="18"/>
                <w:vertAlign w:val="superscript"/>
              </w:rPr>
              <w:t>*</w:t>
            </w:r>
          </w:p>
        </w:tc>
        <w:tc>
          <w:tcPr>
            <w:tcW w:w="1030" w:type="dxa"/>
            <w:tcBorders>
              <w:top w:val="single" w:color="auto" w:sz="4" w:space="0"/>
              <w:left w:val="nil"/>
              <w:bottom w:val="nil"/>
              <w:right w:val="nil"/>
            </w:tcBorders>
          </w:tcPr>
          <w:p w14:paraId="34832DC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0.015</w:t>
            </w:r>
          </w:p>
        </w:tc>
      </w:tr>
      <w:tr w14:paraId="7349B893">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68B030F3">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村庄经济发展水平</w:t>
            </w:r>
          </w:p>
        </w:tc>
        <w:tc>
          <w:tcPr>
            <w:tcW w:w="1026" w:type="dxa"/>
            <w:tcBorders>
              <w:top w:val="nil"/>
              <w:left w:val="single" w:color="auto" w:sz="4" w:space="0"/>
              <w:bottom w:val="nil"/>
              <w:right w:val="nil"/>
            </w:tcBorders>
          </w:tcPr>
          <w:p w14:paraId="2F0AE627">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0.008</w:t>
            </w:r>
          </w:p>
        </w:tc>
        <w:tc>
          <w:tcPr>
            <w:tcW w:w="1027" w:type="dxa"/>
            <w:tcBorders>
              <w:top w:val="nil"/>
              <w:left w:val="nil"/>
              <w:bottom w:val="nil"/>
              <w:right w:val="single" w:color="auto" w:sz="4" w:space="0"/>
            </w:tcBorders>
          </w:tcPr>
          <w:p w14:paraId="3F0FF47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0.010</w:t>
            </w:r>
          </w:p>
        </w:tc>
        <w:tc>
          <w:tcPr>
            <w:tcW w:w="1026" w:type="dxa"/>
            <w:tcBorders>
              <w:top w:val="nil"/>
              <w:left w:val="single" w:color="auto" w:sz="4" w:space="0"/>
              <w:bottom w:val="nil"/>
              <w:right w:val="nil"/>
            </w:tcBorders>
          </w:tcPr>
          <w:p w14:paraId="7D35DEF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0.009</w:t>
            </w:r>
          </w:p>
        </w:tc>
        <w:tc>
          <w:tcPr>
            <w:tcW w:w="1027" w:type="dxa"/>
            <w:tcBorders>
              <w:top w:val="nil"/>
              <w:left w:val="nil"/>
              <w:bottom w:val="nil"/>
              <w:right w:val="single" w:color="auto" w:sz="4" w:space="0"/>
            </w:tcBorders>
          </w:tcPr>
          <w:p w14:paraId="1741A3A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0.010</w:t>
            </w:r>
          </w:p>
        </w:tc>
        <w:tc>
          <w:tcPr>
            <w:tcW w:w="1026" w:type="dxa"/>
            <w:tcBorders>
              <w:top w:val="nil"/>
              <w:left w:val="single" w:color="auto" w:sz="4" w:space="0"/>
              <w:bottom w:val="nil"/>
              <w:right w:val="nil"/>
            </w:tcBorders>
          </w:tcPr>
          <w:p w14:paraId="7110200A">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0.008</w:t>
            </w:r>
          </w:p>
        </w:tc>
        <w:tc>
          <w:tcPr>
            <w:tcW w:w="1030" w:type="dxa"/>
            <w:tcBorders>
              <w:top w:val="nil"/>
              <w:left w:val="nil"/>
              <w:bottom w:val="nil"/>
              <w:right w:val="nil"/>
            </w:tcBorders>
          </w:tcPr>
          <w:p w14:paraId="6AA39C21">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0.010</w:t>
            </w:r>
          </w:p>
        </w:tc>
      </w:tr>
      <w:tr w14:paraId="07E48A8E">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2C4AF759">
            <w:pPr>
              <w:autoSpaceDE w:val="0"/>
              <w:autoSpaceDN w:val="0"/>
              <w:spacing w:line="300" w:lineRule="exac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村庄</w:t>
            </w:r>
            <w:r>
              <w:rPr>
                <w:rFonts w:ascii="Times New Roman" w:hAnsi="Times New Roman" w:eastAsia="宋体" w:cs="Times New Roman"/>
                <w:color w:val="auto"/>
                <w:kern w:val="0"/>
                <w:sz w:val="18"/>
                <w:szCs w:val="18"/>
              </w:rPr>
              <w:t>人口规模</w:t>
            </w:r>
          </w:p>
        </w:tc>
        <w:tc>
          <w:tcPr>
            <w:tcW w:w="1026" w:type="dxa"/>
            <w:tcBorders>
              <w:top w:val="nil"/>
              <w:left w:val="single" w:color="auto" w:sz="4" w:space="0"/>
              <w:bottom w:val="nil"/>
              <w:right w:val="nil"/>
            </w:tcBorders>
          </w:tcPr>
          <w:p w14:paraId="559E265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0.055</w:t>
            </w:r>
            <w:r>
              <w:rPr>
                <w:rFonts w:ascii="Times New Roman" w:hAnsi="Times New Roman" w:eastAsia="宋体" w:cs="Times New Roman"/>
                <w:color w:val="auto"/>
                <w:kern w:val="0"/>
                <w:sz w:val="18"/>
                <w:szCs w:val="18"/>
                <w:vertAlign w:val="superscript"/>
              </w:rPr>
              <w:t>**</w:t>
            </w:r>
          </w:p>
        </w:tc>
        <w:tc>
          <w:tcPr>
            <w:tcW w:w="1027" w:type="dxa"/>
            <w:tcBorders>
              <w:top w:val="nil"/>
              <w:left w:val="nil"/>
              <w:bottom w:val="nil"/>
              <w:right w:val="single" w:color="auto" w:sz="4" w:space="0"/>
            </w:tcBorders>
          </w:tcPr>
          <w:p w14:paraId="6BED9E9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0.026</w:t>
            </w:r>
          </w:p>
        </w:tc>
        <w:tc>
          <w:tcPr>
            <w:tcW w:w="1026" w:type="dxa"/>
            <w:tcBorders>
              <w:top w:val="nil"/>
              <w:left w:val="single" w:color="auto" w:sz="4" w:space="0"/>
              <w:bottom w:val="nil"/>
              <w:right w:val="nil"/>
            </w:tcBorders>
          </w:tcPr>
          <w:p w14:paraId="4C6AB3D3">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0.054</w:t>
            </w:r>
            <w:r>
              <w:rPr>
                <w:rFonts w:ascii="Times New Roman" w:hAnsi="Times New Roman" w:eastAsia="宋体" w:cs="Times New Roman"/>
                <w:color w:val="auto"/>
                <w:kern w:val="0"/>
                <w:sz w:val="18"/>
                <w:szCs w:val="18"/>
                <w:vertAlign w:val="superscript"/>
              </w:rPr>
              <w:t>**</w:t>
            </w:r>
          </w:p>
        </w:tc>
        <w:tc>
          <w:tcPr>
            <w:tcW w:w="1027" w:type="dxa"/>
            <w:tcBorders>
              <w:top w:val="nil"/>
              <w:left w:val="nil"/>
              <w:bottom w:val="nil"/>
              <w:right w:val="single" w:color="auto" w:sz="4" w:space="0"/>
            </w:tcBorders>
          </w:tcPr>
          <w:p w14:paraId="0B6EFBE2">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0.026</w:t>
            </w:r>
          </w:p>
        </w:tc>
        <w:tc>
          <w:tcPr>
            <w:tcW w:w="1026" w:type="dxa"/>
            <w:tcBorders>
              <w:top w:val="nil"/>
              <w:left w:val="single" w:color="auto" w:sz="4" w:space="0"/>
              <w:bottom w:val="nil"/>
              <w:right w:val="nil"/>
            </w:tcBorders>
          </w:tcPr>
          <w:p w14:paraId="5D35CD96">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0.054</w:t>
            </w:r>
            <w:r>
              <w:rPr>
                <w:rFonts w:ascii="Times New Roman" w:hAnsi="Times New Roman" w:eastAsia="宋体" w:cs="Times New Roman"/>
                <w:color w:val="auto"/>
                <w:kern w:val="0"/>
                <w:sz w:val="18"/>
                <w:szCs w:val="18"/>
                <w:vertAlign w:val="superscript"/>
              </w:rPr>
              <w:t>**</w:t>
            </w:r>
          </w:p>
        </w:tc>
        <w:tc>
          <w:tcPr>
            <w:tcW w:w="1030" w:type="dxa"/>
            <w:tcBorders>
              <w:top w:val="nil"/>
              <w:left w:val="nil"/>
              <w:bottom w:val="nil"/>
              <w:right w:val="nil"/>
            </w:tcBorders>
          </w:tcPr>
          <w:p w14:paraId="0D96966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0.026</w:t>
            </w:r>
          </w:p>
        </w:tc>
      </w:tr>
      <w:tr w14:paraId="3DFBE4B4">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0709CB0C">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道路硬化比例</w:t>
            </w:r>
          </w:p>
        </w:tc>
        <w:tc>
          <w:tcPr>
            <w:tcW w:w="1026" w:type="dxa"/>
            <w:tcBorders>
              <w:top w:val="nil"/>
              <w:left w:val="single" w:color="auto" w:sz="4" w:space="0"/>
              <w:bottom w:val="nil"/>
              <w:right w:val="nil"/>
            </w:tcBorders>
          </w:tcPr>
          <w:p w14:paraId="0037D80F">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0.004</w:t>
            </w:r>
          </w:p>
        </w:tc>
        <w:tc>
          <w:tcPr>
            <w:tcW w:w="1027" w:type="dxa"/>
            <w:tcBorders>
              <w:top w:val="nil"/>
              <w:left w:val="nil"/>
              <w:bottom w:val="nil"/>
              <w:right w:val="single" w:color="auto" w:sz="4" w:space="0"/>
            </w:tcBorders>
          </w:tcPr>
          <w:p w14:paraId="6F8E4A8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0.023</w:t>
            </w:r>
          </w:p>
        </w:tc>
        <w:tc>
          <w:tcPr>
            <w:tcW w:w="1026" w:type="dxa"/>
            <w:tcBorders>
              <w:top w:val="nil"/>
              <w:left w:val="single" w:color="auto" w:sz="4" w:space="0"/>
              <w:bottom w:val="nil"/>
              <w:right w:val="nil"/>
            </w:tcBorders>
          </w:tcPr>
          <w:p w14:paraId="0417C01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0.004</w:t>
            </w:r>
          </w:p>
        </w:tc>
        <w:tc>
          <w:tcPr>
            <w:tcW w:w="1027" w:type="dxa"/>
            <w:tcBorders>
              <w:top w:val="nil"/>
              <w:left w:val="nil"/>
              <w:bottom w:val="nil"/>
              <w:right w:val="single" w:color="auto" w:sz="4" w:space="0"/>
            </w:tcBorders>
          </w:tcPr>
          <w:p w14:paraId="7DE143A3">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0.023</w:t>
            </w:r>
          </w:p>
        </w:tc>
        <w:tc>
          <w:tcPr>
            <w:tcW w:w="1026" w:type="dxa"/>
            <w:tcBorders>
              <w:top w:val="nil"/>
              <w:left w:val="single" w:color="auto" w:sz="4" w:space="0"/>
              <w:bottom w:val="nil"/>
              <w:right w:val="nil"/>
            </w:tcBorders>
          </w:tcPr>
          <w:p w14:paraId="5ADB5811">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0.003</w:t>
            </w:r>
          </w:p>
        </w:tc>
        <w:tc>
          <w:tcPr>
            <w:tcW w:w="1030" w:type="dxa"/>
            <w:tcBorders>
              <w:top w:val="nil"/>
              <w:left w:val="nil"/>
              <w:bottom w:val="nil"/>
              <w:right w:val="nil"/>
            </w:tcBorders>
          </w:tcPr>
          <w:p w14:paraId="0A910F60">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0.023</w:t>
            </w:r>
          </w:p>
        </w:tc>
      </w:tr>
      <w:tr w14:paraId="71388894">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70CE1F7C">
            <w:pPr>
              <w:autoSpaceDE w:val="0"/>
              <w:autoSpaceDN w:val="0"/>
              <w:spacing w:line="300" w:lineRule="exac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村庄社会</w:t>
            </w:r>
            <w:r>
              <w:rPr>
                <w:rFonts w:ascii="Times New Roman" w:hAnsi="Times New Roman" w:eastAsia="宋体" w:cs="Times New Roman"/>
                <w:color w:val="auto"/>
                <w:kern w:val="0"/>
                <w:sz w:val="18"/>
                <w:szCs w:val="18"/>
              </w:rPr>
              <w:t>治安</w:t>
            </w:r>
          </w:p>
        </w:tc>
        <w:tc>
          <w:tcPr>
            <w:tcW w:w="1026" w:type="dxa"/>
            <w:tcBorders>
              <w:top w:val="nil"/>
              <w:left w:val="single" w:color="auto" w:sz="4" w:space="0"/>
              <w:bottom w:val="nil"/>
              <w:right w:val="nil"/>
            </w:tcBorders>
          </w:tcPr>
          <w:p w14:paraId="11CF8CBB">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0.001</w:t>
            </w:r>
          </w:p>
        </w:tc>
        <w:tc>
          <w:tcPr>
            <w:tcW w:w="1027" w:type="dxa"/>
            <w:tcBorders>
              <w:top w:val="nil"/>
              <w:left w:val="nil"/>
              <w:bottom w:val="nil"/>
              <w:right w:val="single" w:color="auto" w:sz="4" w:space="0"/>
            </w:tcBorders>
          </w:tcPr>
          <w:p w14:paraId="35A15389">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0.002</w:t>
            </w:r>
          </w:p>
        </w:tc>
        <w:tc>
          <w:tcPr>
            <w:tcW w:w="1026" w:type="dxa"/>
            <w:tcBorders>
              <w:top w:val="nil"/>
              <w:left w:val="single" w:color="auto" w:sz="4" w:space="0"/>
              <w:bottom w:val="nil"/>
              <w:right w:val="nil"/>
            </w:tcBorders>
          </w:tcPr>
          <w:p w14:paraId="6BC5ED5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0.001</w:t>
            </w:r>
          </w:p>
        </w:tc>
        <w:tc>
          <w:tcPr>
            <w:tcW w:w="1027" w:type="dxa"/>
            <w:tcBorders>
              <w:top w:val="nil"/>
              <w:left w:val="nil"/>
              <w:bottom w:val="nil"/>
              <w:right w:val="single" w:color="auto" w:sz="4" w:space="0"/>
            </w:tcBorders>
          </w:tcPr>
          <w:p w14:paraId="30D375EC">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0.002</w:t>
            </w:r>
          </w:p>
        </w:tc>
        <w:tc>
          <w:tcPr>
            <w:tcW w:w="1026" w:type="dxa"/>
            <w:tcBorders>
              <w:top w:val="nil"/>
              <w:left w:val="single" w:color="auto" w:sz="4" w:space="0"/>
              <w:bottom w:val="nil"/>
              <w:right w:val="nil"/>
            </w:tcBorders>
          </w:tcPr>
          <w:p w14:paraId="73BA329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0.001</w:t>
            </w:r>
          </w:p>
        </w:tc>
        <w:tc>
          <w:tcPr>
            <w:tcW w:w="1030" w:type="dxa"/>
            <w:tcBorders>
              <w:top w:val="nil"/>
              <w:left w:val="nil"/>
              <w:bottom w:val="nil"/>
              <w:right w:val="nil"/>
            </w:tcBorders>
          </w:tcPr>
          <w:p w14:paraId="1BA4D299">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0.002</w:t>
            </w:r>
          </w:p>
        </w:tc>
      </w:tr>
      <w:tr w14:paraId="52D5BA84">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0BCCB056">
            <w:pPr>
              <w:autoSpaceDE w:val="0"/>
              <w:autoSpaceDN w:val="0"/>
              <w:spacing w:line="300" w:lineRule="exac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户</w:t>
            </w:r>
            <w:r>
              <w:rPr>
                <w:rFonts w:ascii="Times New Roman" w:hAnsi="Times New Roman" w:eastAsia="宋体" w:cs="Times New Roman"/>
                <w:color w:val="auto"/>
                <w:kern w:val="0"/>
                <w:sz w:val="18"/>
                <w:szCs w:val="18"/>
              </w:rPr>
              <w:t>均土地面积</w:t>
            </w:r>
          </w:p>
        </w:tc>
        <w:tc>
          <w:tcPr>
            <w:tcW w:w="1026" w:type="dxa"/>
            <w:tcBorders>
              <w:top w:val="nil"/>
              <w:left w:val="single" w:color="auto" w:sz="4" w:space="0"/>
              <w:bottom w:val="nil"/>
              <w:right w:val="nil"/>
            </w:tcBorders>
          </w:tcPr>
          <w:p w14:paraId="5D422B9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0.003</w:t>
            </w:r>
          </w:p>
        </w:tc>
        <w:tc>
          <w:tcPr>
            <w:tcW w:w="1027" w:type="dxa"/>
            <w:tcBorders>
              <w:top w:val="nil"/>
              <w:left w:val="nil"/>
              <w:bottom w:val="nil"/>
              <w:right w:val="single" w:color="auto" w:sz="4" w:space="0"/>
            </w:tcBorders>
          </w:tcPr>
          <w:p w14:paraId="0FDD4DD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0.008</w:t>
            </w:r>
          </w:p>
        </w:tc>
        <w:tc>
          <w:tcPr>
            <w:tcW w:w="1026" w:type="dxa"/>
            <w:tcBorders>
              <w:top w:val="nil"/>
              <w:left w:val="single" w:color="auto" w:sz="4" w:space="0"/>
              <w:bottom w:val="nil"/>
              <w:right w:val="nil"/>
            </w:tcBorders>
          </w:tcPr>
          <w:p w14:paraId="15650F2A">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0.003</w:t>
            </w:r>
          </w:p>
        </w:tc>
        <w:tc>
          <w:tcPr>
            <w:tcW w:w="1027" w:type="dxa"/>
            <w:tcBorders>
              <w:top w:val="nil"/>
              <w:left w:val="nil"/>
              <w:bottom w:val="nil"/>
              <w:right w:val="single" w:color="auto" w:sz="4" w:space="0"/>
            </w:tcBorders>
          </w:tcPr>
          <w:p w14:paraId="269490D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0.008</w:t>
            </w:r>
          </w:p>
        </w:tc>
        <w:tc>
          <w:tcPr>
            <w:tcW w:w="1026" w:type="dxa"/>
            <w:tcBorders>
              <w:top w:val="nil"/>
              <w:left w:val="single" w:color="auto" w:sz="4" w:space="0"/>
              <w:bottom w:val="nil"/>
              <w:right w:val="nil"/>
            </w:tcBorders>
          </w:tcPr>
          <w:p w14:paraId="030D5391">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0.003</w:t>
            </w:r>
          </w:p>
        </w:tc>
        <w:tc>
          <w:tcPr>
            <w:tcW w:w="1030" w:type="dxa"/>
            <w:tcBorders>
              <w:top w:val="nil"/>
              <w:left w:val="nil"/>
              <w:bottom w:val="nil"/>
              <w:right w:val="nil"/>
            </w:tcBorders>
          </w:tcPr>
          <w:p w14:paraId="59206DC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0.008</w:t>
            </w:r>
          </w:p>
        </w:tc>
      </w:tr>
      <w:tr w14:paraId="5B068221">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44605C11">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技能培训比例</w:t>
            </w:r>
          </w:p>
        </w:tc>
        <w:tc>
          <w:tcPr>
            <w:tcW w:w="1026" w:type="dxa"/>
            <w:tcBorders>
              <w:top w:val="nil"/>
              <w:left w:val="single" w:color="auto" w:sz="4" w:space="0"/>
              <w:bottom w:val="nil"/>
              <w:right w:val="nil"/>
            </w:tcBorders>
          </w:tcPr>
          <w:p w14:paraId="4672A06F">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0.055</w:t>
            </w:r>
            <w:r>
              <w:rPr>
                <w:rFonts w:ascii="Times New Roman" w:hAnsi="Times New Roman" w:eastAsia="宋体" w:cs="Times New Roman"/>
                <w:color w:val="auto"/>
                <w:kern w:val="0"/>
                <w:sz w:val="18"/>
                <w:szCs w:val="18"/>
                <w:vertAlign w:val="superscript"/>
              </w:rPr>
              <w:t>*</w:t>
            </w:r>
          </w:p>
        </w:tc>
        <w:tc>
          <w:tcPr>
            <w:tcW w:w="1027" w:type="dxa"/>
            <w:tcBorders>
              <w:top w:val="nil"/>
              <w:left w:val="nil"/>
              <w:bottom w:val="nil"/>
              <w:right w:val="single" w:color="auto" w:sz="4" w:space="0"/>
            </w:tcBorders>
          </w:tcPr>
          <w:p w14:paraId="2A9D7187">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0.033</w:t>
            </w:r>
          </w:p>
        </w:tc>
        <w:tc>
          <w:tcPr>
            <w:tcW w:w="1026" w:type="dxa"/>
            <w:tcBorders>
              <w:top w:val="nil"/>
              <w:left w:val="single" w:color="auto" w:sz="4" w:space="0"/>
              <w:bottom w:val="nil"/>
              <w:right w:val="nil"/>
            </w:tcBorders>
          </w:tcPr>
          <w:p w14:paraId="32A3B560">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0.056</w:t>
            </w:r>
            <w:r>
              <w:rPr>
                <w:rFonts w:ascii="Times New Roman" w:hAnsi="Times New Roman" w:eastAsia="宋体" w:cs="Times New Roman"/>
                <w:color w:val="auto"/>
                <w:kern w:val="0"/>
                <w:sz w:val="18"/>
                <w:szCs w:val="18"/>
                <w:vertAlign w:val="superscript"/>
              </w:rPr>
              <w:t>*</w:t>
            </w:r>
          </w:p>
        </w:tc>
        <w:tc>
          <w:tcPr>
            <w:tcW w:w="1027" w:type="dxa"/>
            <w:tcBorders>
              <w:top w:val="nil"/>
              <w:left w:val="nil"/>
              <w:bottom w:val="nil"/>
              <w:right w:val="single" w:color="auto" w:sz="4" w:space="0"/>
            </w:tcBorders>
          </w:tcPr>
          <w:p w14:paraId="1F79869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0.034</w:t>
            </w:r>
          </w:p>
        </w:tc>
        <w:tc>
          <w:tcPr>
            <w:tcW w:w="1026" w:type="dxa"/>
            <w:tcBorders>
              <w:top w:val="nil"/>
              <w:left w:val="single" w:color="auto" w:sz="4" w:space="0"/>
              <w:bottom w:val="nil"/>
              <w:right w:val="nil"/>
            </w:tcBorders>
          </w:tcPr>
          <w:p w14:paraId="2517685F">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0.056</w:t>
            </w:r>
            <w:r>
              <w:rPr>
                <w:rFonts w:ascii="Times New Roman" w:hAnsi="Times New Roman" w:eastAsia="宋体" w:cs="Times New Roman"/>
                <w:color w:val="auto"/>
                <w:kern w:val="0"/>
                <w:sz w:val="18"/>
                <w:szCs w:val="18"/>
                <w:vertAlign w:val="superscript"/>
              </w:rPr>
              <w:t>*</w:t>
            </w:r>
          </w:p>
        </w:tc>
        <w:tc>
          <w:tcPr>
            <w:tcW w:w="1030" w:type="dxa"/>
            <w:tcBorders>
              <w:top w:val="nil"/>
              <w:left w:val="nil"/>
              <w:bottom w:val="nil"/>
              <w:right w:val="nil"/>
            </w:tcBorders>
          </w:tcPr>
          <w:p w14:paraId="15423987">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0.033</w:t>
            </w:r>
          </w:p>
        </w:tc>
      </w:tr>
      <w:tr w14:paraId="671F103C">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03BD0982">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常数项</w:t>
            </w:r>
          </w:p>
        </w:tc>
        <w:tc>
          <w:tcPr>
            <w:tcW w:w="1026" w:type="dxa"/>
            <w:tcBorders>
              <w:top w:val="nil"/>
              <w:left w:val="single" w:color="auto" w:sz="4" w:space="0"/>
              <w:bottom w:val="nil"/>
              <w:right w:val="nil"/>
            </w:tcBorders>
          </w:tcPr>
          <w:p w14:paraId="3C794FFC">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0.615</w:t>
            </w:r>
            <w:r>
              <w:rPr>
                <w:rFonts w:ascii="Times New Roman" w:hAnsi="Times New Roman" w:eastAsia="宋体" w:cs="Times New Roman"/>
                <w:color w:val="auto"/>
                <w:kern w:val="0"/>
                <w:sz w:val="18"/>
                <w:szCs w:val="18"/>
                <w:vertAlign w:val="superscript"/>
              </w:rPr>
              <w:t>***</w:t>
            </w:r>
          </w:p>
        </w:tc>
        <w:tc>
          <w:tcPr>
            <w:tcW w:w="1027" w:type="dxa"/>
            <w:tcBorders>
              <w:top w:val="nil"/>
              <w:left w:val="nil"/>
              <w:bottom w:val="nil"/>
              <w:right w:val="single" w:color="auto" w:sz="4" w:space="0"/>
            </w:tcBorders>
          </w:tcPr>
          <w:p w14:paraId="5242B24C">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0.216</w:t>
            </w:r>
          </w:p>
        </w:tc>
        <w:tc>
          <w:tcPr>
            <w:tcW w:w="1026" w:type="dxa"/>
            <w:tcBorders>
              <w:top w:val="nil"/>
              <w:left w:val="single" w:color="auto" w:sz="4" w:space="0"/>
              <w:bottom w:val="nil"/>
              <w:right w:val="nil"/>
            </w:tcBorders>
          </w:tcPr>
          <w:p w14:paraId="76C31E3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0.600</w:t>
            </w:r>
            <w:r>
              <w:rPr>
                <w:rFonts w:ascii="Times New Roman" w:hAnsi="Times New Roman" w:eastAsia="宋体" w:cs="Times New Roman"/>
                <w:color w:val="auto"/>
                <w:kern w:val="0"/>
                <w:sz w:val="18"/>
                <w:szCs w:val="18"/>
                <w:vertAlign w:val="superscript"/>
              </w:rPr>
              <w:t>***</w:t>
            </w:r>
          </w:p>
        </w:tc>
        <w:tc>
          <w:tcPr>
            <w:tcW w:w="1027" w:type="dxa"/>
            <w:tcBorders>
              <w:top w:val="nil"/>
              <w:left w:val="nil"/>
              <w:bottom w:val="nil"/>
              <w:right w:val="single" w:color="auto" w:sz="4" w:space="0"/>
            </w:tcBorders>
          </w:tcPr>
          <w:p w14:paraId="62E5FA1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0.218</w:t>
            </w:r>
          </w:p>
        </w:tc>
        <w:tc>
          <w:tcPr>
            <w:tcW w:w="1026" w:type="dxa"/>
            <w:tcBorders>
              <w:top w:val="nil"/>
              <w:left w:val="single" w:color="auto" w:sz="4" w:space="0"/>
              <w:bottom w:val="nil"/>
              <w:right w:val="nil"/>
            </w:tcBorders>
          </w:tcPr>
          <w:p w14:paraId="644D80A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0.614</w:t>
            </w:r>
            <w:r>
              <w:rPr>
                <w:rFonts w:ascii="Times New Roman" w:hAnsi="Times New Roman" w:eastAsia="宋体" w:cs="Times New Roman"/>
                <w:color w:val="auto"/>
                <w:kern w:val="0"/>
                <w:sz w:val="18"/>
                <w:szCs w:val="18"/>
                <w:vertAlign w:val="superscript"/>
              </w:rPr>
              <w:t>***</w:t>
            </w:r>
          </w:p>
        </w:tc>
        <w:tc>
          <w:tcPr>
            <w:tcW w:w="1030" w:type="dxa"/>
            <w:tcBorders>
              <w:top w:val="nil"/>
              <w:left w:val="nil"/>
              <w:bottom w:val="nil"/>
              <w:right w:val="nil"/>
            </w:tcBorders>
          </w:tcPr>
          <w:p w14:paraId="6041B30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0.218</w:t>
            </w:r>
          </w:p>
        </w:tc>
      </w:tr>
      <w:tr w14:paraId="1B526B66">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5EE9DA8E">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村庄固定效应</w:t>
            </w:r>
          </w:p>
        </w:tc>
        <w:tc>
          <w:tcPr>
            <w:tcW w:w="2053" w:type="dxa"/>
            <w:gridSpan w:val="2"/>
            <w:tcBorders>
              <w:top w:val="nil"/>
              <w:left w:val="single" w:color="auto" w:sz="4" w:space="0"/>
              <w:bottom w:val="nil"/>
              <w:right w:val="single" w:color="auto" w:sz="4" w:space="0"/>
            </w:tcBorders>
          </w:tcPr>
          <w:p w14:paraId="0D8E9003">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2053" w:type="dxa"/>
            <w:gridSpan w:val="2"/>
            <w:tcBorders>
              <w:top w:val="nil"/>
              <w:left w:val="single" w:color="auto" w:sz="4" w:space="0"/>
              <w:bottom w:val="nil"/>
              <w:right w:val="single" w:color="auto" w:sz="4" w:space="0"/>
            </w:tcBorders>
          </w:tcPr>
          <w:p w14:paraId="107747F2">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2056" w:type="dxa"/>
            <w:gridSpan w:val="2"/>
            <w:tcBorders>
              <w:top w:val="nil"/>
              <w:left w:val="single" w:color="auto" w:sz="4" w:space="0"/>
              <w:bottom w:val="nil"/>
              <w:right w:val="nil"/>
            </w:tcBorders>
          </w:tcPr>
          <w:p w14:paraId="1DB25C22">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5EDE5012">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15078545">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年份固定效应</w:t>
            </w:r>
          </w:p>
        </w:tc>
        <w:tc>
          <w:tcPr>
            <w:tcW w:w="2053" w:type="dxa"/>
            <w:gridSpan w:val="2"/>
            <w:tcBorders>
              <w:top w:val="nil"/>
              <w:left w:val="single" w:color="auto" w:sz="4" w:space="0"/>
              <w:right w:val="single" w:color="auto" w:sz="4" w:space="0"/>
            </w:tcBorders>
          </w:tcPr>
          <w:p w14:paraId="1923662A">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2053" w:type="dxa"/>
            <w:gridSpan w:val="2"/>
            <w:tcBorders>
              <w:top w:val="nil"/>
              <w:left w:val="single" w:color="auto" w:sz="4" w:space="0"/>
              <w:right w:val="single" w:color="auto" w:sz="4" w:space="0"/>
            </w:tcBorders>
          </w:tcPr>
          <w:p w14:paraId="49460C5A">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2056" w:type="dxa"/>
            <w:gridSpan w:val="2"/>
            <w:tcBorders>
              <w:top w:val="nil"/>
              <w:left w:val="single" w:color="auto" w:sz="4" w:space="0"/>
              <w:right w:val="nil"/>
            </w:tcBorders>
          </w:tcPr>
          <w:p w14:paraId="5AE08710">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2DF3A1D0">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14:paraId="2553C03B">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试点选择</w:t>
            </w:r>
            <w:r>
              <w:rPr>
                <w:rFonts w:hint="eastAsia" w:ascii="Times New Roman" w:hAnsi="Times New Roman" w:eastAsia="宋体" w:cs="Times New Roman"/>
                <w:color w:val="auto"/>
                <w:kern w:val="0"/>
                <w:sz w:val="18"/>
                <w:szCs w:val="18"/>
              </w:rPr>
              <w:t>变量</w:t>
            </w:r>
            <w:r>
              <w:rPr>
                <w:rFonts w:hint="eastAsia" w:ascii="宋体" w:hAnsi="宋体" w:eastAsia="宋体" w:cs="宋体"/>
                <w:color w:val="auto"/>
                <w:kern w:val="0"/>
                <w:sz w:val="18"/>
                <w:szCs w:val="18"/>
              </w:rPr>
              <w:t>×</w:t>
            </w:r>
            <w:r>
              <w:rPr>
                <w:rFonts w:ascii="Times New Roman" w:hAnsi="Times New Roman" w:eastAsia="宋体" w:cs="Times New Roman"/>
                <w:color w:val="auto"/>
                <w:kern w:val="0"/>
                <w:sz w:val="18"/>
                <w:szCs w:val="18"/>
              </w:rPr>
              <w:t>年份固定效应</w:t>
            </w:r>
          </w:p>
        </w:tc>
        <w:tc>
          <w:tcPr>
            <w:tcW w:w="2053" w:type="dxa"/>
            <w:gridSpan w:val="2"/>
            <w:tcBorders>
              <w:top w:val="nil"/>
              <w:left w:val="single" w:color="auto" w:sz="4" w:space="0"/>
              <w:bottom w:val="nil"/>
              <w:right w:val="single" w:color="auto" w:sz="4" w:space="0"/>
            </w:tcBorders>
          </w:tcPr>
          <w:p w14:paraId="4589A2C1">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c>
          <w:tcPr>
            <w:tcW w:w="2053" w:type="dxa"/>
            <w:gridSpan w:val="2"/>
            <w:tcBorders>
              <w:top w:val="nil"/>
              <w:left w:val="single" w:color="auto" w:sz="4" w:space="0"/>
              <w:bottom w:val="nil"/>
              <w:right w:val="single" w:color="auto" w:sz="4" w:space="0"/>
            </w:tcBorders>
          </w:tcPr>
          <w:p w14:paraId="2E61CFD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2056" w:type="dxa"/>
            <w:gridSpan w:val="2"/>
            <w:tcBorders>
              <w:top w:val="nil"/>
              <w:left w:val="single" w:color="auto" w:sz="4" w:space="0"/>
              <w:bottom w:val="nil"/>
              <w:right w:val="nil"/>
            </w:tcBorders>
          </w:tcPr>
          <w:p w14:paraId="7E635448">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r>
      <w:tr w14:paraId="5932AB09">
        <w:tblPrEx>
          <w:tblCellMar>
            <w:top w:w="0" w:type="dxa"/>
            <w:left w:w="75" w:type="dxa"/>
            <w:bottom w:w="0" w:type="dxa"/>
            <w:right w:w="75" w:type="dxa"/>
          </w:tblCellMar>
        </w:tblPrEx>
        <w:trPr>
          <w:trHeight w:val="317" w:hRule="atLeast"/>
          <w:jc w:val="center"/>
        </w:trPr>
        <w:tc>
          <w:tcPr>
            <w:tcW w:w="2500" w:type="dxa"/>
            <w:tcBorders>
              <w:top w:val="nil"/>
              <w:left w:val="nil"/>
              <w:right w:val="single" w:color="auto" w:sz="4" w:space="0"/>
            </w:tcBorders>
            <w:vAlign w:val="center"/>
          </w:tcPr>
          <w:p w14:paraId="542D7CAE">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试点选择</w:t>
            </w:r>
            <w:r>
              <w:rPr>
                <w:rFonts w:hint="eastAsia" w:ascii="Times New Roman" w:hAnsi="Times New Roman" w:eastAsia="宋体" w:cs="Times New Roman"/>
                <w:color w:val="auto"/>
                <w:kern w:val="0"/>
                <w:sz w:val="18"/>
                <w:szCs w:val="18"/>
              </w:rPr>
              <w:t>变量</w:t>
            </w:r>
            <w:r>
              <w:rPr>
                <w:rFonts w:hint="eastAsia" w:ascii="宋体" w:hAnsi="宋体" w:eastAsia="宋体" w:cs="宋体"/>
                <w:color w:val="auto"/>
                <w:kern w:val="0"/>
                <w:sz w:val="18"/>
                <w:szCs w:val="18"/>
              </w:rPr>
              <w:t>×</w:t>
            </w:r>
            <w:r>
              <w:rPr>
                <w:rFonts w:hint="eastAsia" w:ascii="Times New Roman" w:hAnsi="Times New Roman" w:eastAsia="宋体" w:cs="Times New Roman"/>
                <w:color w:val="auto"/>
                <w:kern w:val="0"/>
                <w:sz w:val="18"/>
                <w:szCs w:val="18"/>
              </w:rPr>
              <w:t>时间趋势一次项</w:t>
            </w:r>
          </w:p>
        </w:tc>
        <w:tc>
          <w:tcPr>
            <w:tcW w:w="2053" w:type="dxa"/>
            <w:gridSpan w:val="2"/>
            <w:tcBorders>
              <w:top w:val="nil"/>
              <w:left w:val="single" w:color="auto" w:sz="4" w:space="0"/>
              <w:right w:val="single" w:color="auto" w:sz="4" w:space="0"/>
            </w:tcBorders>
          </w:tcPr>
          <w:p w14:paraId="0B40166E">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c>
          <w:tcPr>
            <w:tcW w:w="2053" w:type="dxa"/>
            <w:gridSpan w:val="2"/>
            <w:tcBorders>
              <w:top w:val="nil"/>
              <w:left w:val="single" w:color="auto" w:sz="4" w:space="0"/>
              <w:right w:val="single" w:color="auto" w:sz="4" w:space="0"/>
            </w:tcBorders>
          </w:tcPr>
          <w:p w14:paraId="07CB2B3F">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c>
          <w:tcPr>
            <w:tcW w:w="2056" w:type="dxa"/>
            <w:gridSpan w:val="2"/>
            <w:tcBorders>
              <w:top w:val="nil"/>
              <w:left w:val="single" w:color="auto" w:sz="4" w:space="0"/>
              <w:right w:val="nil"/>
            </w:tcBorders>
          </w:tcPr>
          <w:p w14:paraId="6195A58A">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42635C3A">
        <w:tblPrEx>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vAlign w:val="center"/>
          </w:tcPr>
          <w:p w14:paraId="4F380399">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试点选择</w:t>
            </w:r>
            <w:r>
              <w:rPr>
                <w:rFonts w:hint="eastAsia" w:ascii="Times New Roman" w:hAnsi="Times New Roman" w:eastAsia="宋体" w:cs="Times New Roman"/>
                <w:color w:val="auto"/>
                <w:kern w:val="0"/>
                <w:sz w:val="18"/>
                <w:szCs w:val="18"/>
              </w:rPr>
              <w:t>变量</w:t>
            </w:r>
            <w:r>
              <w:rPr>
                <w:rFonts w:hint="eastAsia" w:ascii="宋体" w:hAnsi="宋体" w:eastAsia="宋体" w:cs="宋体"/>
                <w:color w:val="auto"/>
                <w:kern w:val="0"/>
                <w:sz w:val="18"/>
                <w:szCs w:val="18"/>
              </w:rPr>
              <w:t>×</w:t>
            </w:r>
            <w:r>
              <w:rPr>
                <w:rFonts w:hint="eastAsia" w:ascii="Times New Roman" w:hAnsi="Times New Roman" w:eastAsia="宋体" w:cs="Times New Roman"/>
                <w:color w:val="auto"/>
                <w:kern w:val="0"/>
                <w:sz w:val="18"/>
                <w:szCs w:val="18"/>
              </w:rPr>
              <w:t>时间趋势二次项</w:t>
            </w:r>
          </w:p>
        </w:tc>
        <w:tc>
          <w:tcPr>
            <w:tcW w:w="2053" w:type="dxa"/>
            <w:gridSpan w:val="2"/>
            <w:tcBorders>
              <w:top w:val="nil"/>
              <w:left w:val="single" w:color="auto" w:sz="4" w:space="0"/>
              <w:bottom w:val="nil"/>
              <w:right w:val="single" w:color="auto" w:sz="4" w:space="0"/>
            </w:tcBorders>
          </w:tcPr>
          <w:p w14:paraId="11691E7D">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c>
          <w:tcPr>
            <w:tcW w:w="2053" w:type="dxa"/>
            <w:gridSpan w:val="2"/>
            <w:tcBorders>
              <w:top w:val="nil"/>
              <w:left w:val="single" w:color="auto" w:sz="4" w:space="0"/>
              <w:bottom w:val="nil"/>
              <w:right w:val="single" w:color="auto" w:sz="4" w:space="0"/>
            </w:tcBorders>
          </w:tcPr>
          <w:p w14:paraId="78B6CE70">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c>
          <w:tcPr>
            <w:tcW w:w="2056" w:type="dxa"/>
            <w:gridSpan w:val="2"/>
            <w:tcBorders>
              <w:top w:val="nil"/>
              <w:left w:val="single" w:color="auto" w:sz="4" w:space="0"/>
              <w:bottom w:val="nil"/>
              <w:right w:val="nil"/>
            </w:tcBorders>
          </w:tcPr>
          <w:p w14:paraId="7B25B360">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6E0CD825">
        <w:tblPrEx>
          <w:tblCellMar>
            <w:top w:w="0" w:type="dxa"/>
            <w:left w:w="75" w:type="dxa"/>
            <w:bottom w:w="0" w:type="dxa"/>
            <w:right w:w="75" w:type="dxa"/>
          </w:tblCellMar>
        </w:tblPrEx>
        <w:trPr>
          <w:trHeight w:val="317" w:hRule="atLeast"/>
          <w:jc w:val="center"/>
        </w:trPr>
        <w:tc>
          <w:tcPr>
            <w:tcW w:w="2500" w:type="dxa"/>
            <w:tcBorders>
              <w:top w:val="nil"/>
              <w:left w:val="nil"/>
              <w:bottom w:val="single" w:color="auto" w:sz="4" w:space="0"/>
              <w:right w:val="single" w:color="auto" w:sz="4" w:space="0"/>
            </w:tcBorders>
            <w:vAlign w:val="center"/>
          </w:tcPr>
          <w:p w14:paraId="65808B29">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试点选择</w:t>
            </w:r>
            <w:r>
              <w:rPr>
                <w:rFonts w:hint="eastAsia" w:ascii="Times New Roman" w:hAnsi="Times New Roman" w:eastAsia="宋体" w:cs="Times New Roman"/>
                <w:color w:val="auto"/>
                <w:kern w:val="0"/>
                <w:sz w:val="18"/>
                <w:szCs w:val="18"/>
              </w:rPr>
              <w:t>变量</w:t>
            </w:r>
            <w:r>
              <w:rPr>
                <w:rFonts w:hint="eastAsia" w:ascii="宋体" w:hAnsi="宋体" w:eastAsia="宋体" w:cs="宋体"/>
                <w:color w:val="auto"/>
                <w:kern w:val="0"/>
                <w:sz w:val="18"/>
                <w:szCs w:val="18"/>
              </w:rPr>
              <w:t>×</w:t>
            </w:r>
            <w:r>
              <w:rPr>
                <w:rFonts w:hint="eastAsia" w:ascii="Times New Roman" w:hAnsi="Times New Roman" w:eastAsia="宋体" w:cs="Times New Roman"/>
                <w:color w:val="auto"/>
                <w:kern w:val="0"/>
                <w:sz w:val="18"/>
                <w:szCs w:val="18"/>
              </w:rPr>
              <w:t>时间趋势三次项</w:t>
            </w:r>
          </w:p>
        </w:tc>
        <w:tc>
          <w:tcPr>
            <w:tcW w:w="2053" w:type="dxa"/>
            <w:gridSpan w:val="2"/>
            <w:tcBorders>
              <w:top w:val="nil"/>
              <w:left w:val="single" w:color="auto" w:sz="4" w:space="0"/>
              <w:bottom w:val="single" w:color="auto" w:sz="4" w:space="0"/>
              <w:right w:val="single" w:color="auto" w:sz="4" w:space="0"/>
            </w:tcBorders>
          </w:tcPr>
          <w:p w14:paraId="30A723E7">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c>
          <w:tcPr>
            <w:tcW w:w="2053" w:type="dxa"/>
            <w:gridSpan w:val="2"/>
            <w:tcBorders>
              <w:top w:val="nil"/>
              <w:left w:val="single" w:color="auto" w:sz="4" w:space="0"/>
              <w:bottom w:val="single" w:color="auto" w:sz="4" w:space="0"/>
              <w:right w:val="single" w:color="auto" w:sz="4" w:space="0"/>
            </w:tcBorders>
          </w:tcPr>
          <w:p w14:paraId="19984B62">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未控制</w:t>
            </w:r>
          </w:p>
        </w:tc>
        <w:tc>
          <w:tcPr>
            <w:tcW w:w="2056" w:type="dxa"/>
            <w:gridSpan w:val="2"/>
            <w:tcBorders>
              <w:top w:val="nil"/>
              <w:left w:val="single" w:color="auto" w:sz="4" w:space="0"/>
              <w:bottom w:val="single" w:color="auto" w:sz="4" w:space="0"/>
              <w:right w:val="nil"/>
            </w:tcBorders>
          </w:tcPr>
          <w:p w14:paraId="56B753F6">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0D17D2CC">
        <w:tblPrEx>
          <w:tblCellMar>
            <w:top w:w="0" w:type="dxa"/>
            <w:left w:w="75" w:type="dxa"/>
            <w:bottom w:w="0" w:type="dxa"/>
            <w:right w:w="75" w:type="dxa"/>
          </w:tblCellMar>
        </w:tblPrEx>
        <w:trPr>
          <w:trHeight w:val="317" w:hRule="atLeast"/>
          <w:jc w:val="center"/>
        </w:trPr>
        <w:tc>
          <w:tcPr>
            <w:tcW w:w="2500" w:type="dxa"/>
            <w:tcBorders>
              <w:top w:val="single" w:color="auto" w:sz="4" w:space="0"/>
              <w:left w:val="nil"/>
              <w:bottom w:val="nil"/>
              <w:right w:val="single" w:color="auto" w:sz="4" w:space="0"/>
            </w:tcBorders>
            <w:vAlign w:val="center"/>
          </w:tcPr>
          <w:p w14:paraId="33B983A9">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观测值</w:t>
            </w:r>
          </w:p>
        </w:tc>
        <w:tc>
          <w:tcPr>
            <w:tcW w:w="2053" w:type="dxa"/>
            <w:gridSpan w:val="2"/>
            <w:tcBorders>
              <w:top w:val="single" w:color="auto" w:sz="4" w:space="0"/>
              <w:left w:val="single" w:color="auto" w:sz="4" w:space="0"/>
              <w:bottom w:val="nil"/>
              <w:right w:val="single" w:color="auto" w:sz="4" w:space="0"/>
            </w:tcBorders>
          </w:tcPr>
          <w:p w14:paraId="437881C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2651</w:t>
            </w:r>
          </w:p>
        </w:tc>
        <w:tc>
          <w:tcPr>
            <w:tcW w:w="2053" w:type="dxa"/>
            <w:gridSpan w:val="2"/>
            <w:tcBorders>
              <w:top w:val="single" w:color="auto" w:sz="4" w:space="0"/>
              <w:left w:val="single" w:color="auto" w:sz="4" w:space="0"/>
              <w:bottom w:val="nil"/>
              <w:right w:val="single" w:color="auto" w:sz="4" w:space="0"/>
            </w:tcBorders>
          </w:tcPr>
          <w:p w14:paraId="61727F3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2651</w:t>
            </w:r>
          </w:p>
        </w:tc>
        <w:tc>
          <w:tcPr>
            <w:tcW w:w="2056" w:type="dxa"/>
            <w:gridSpan w:val="2"/>
            <w:tcBorders>
              <w:top w:val="single" w:color="auto" w:sz="4" w:space="0"/>
              <w:left w:val="single" w:color="auto" w:sz="4" w:space="0"/>
              <w:bottom w:val="nil"/>
              <w:right w:val="nil"/>
            </w:tcBorders>
          </w:tcPr>
          <w:p w14:paraId="61A80EEA">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2651</w:t>
            </w:r>
          </w:p>
        </w:tc>
      </w:tr>
      <w:tr w14:paraId="219DC7BB">
        <w:tblPrEx>
          <w:tblCellMar>
            <w:top w:w="0" w:type="dxa"/>
            <w:left w:w="75" w:type="dxa"/>
            <w:bottom w:w="0" w:type="dxa"/>
            <w:right w:w="75" w:type="dxa"/>
          </w:tblCellMar>
        </w:tblPrEx>
        <w:trPr>
          <w:trHeight w:val="317" w:hRule="atLeast"/>
          <w:jc w:val="center"/>
        </w:trPr>
        <w:tc>
          <w:tcPr>
            <w:tcW w:w="2500" w:type="dxa"/>
            <w:tcBorders>
              <w:top w:val="nil"/>
              <w:left w:val="nil"/>
              <w:bottom w:val="single" w:color="auto" w:sz="12" w:space="0"/>
              <w:right w:val="single" w:color="auto" w:sz="4" w:space="0"/>
            </w:tcBorders>
            <w:vAlign w:val="center"/>
          </w:tcPr>
          <w:p w14:paraId="48CB7CB3">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调整后的R</w:t>
            </w:r>
            <w:r>
              <w:rPr>
                <w:rFonts w:ascii="Times New Roman" w:hAnsi="Times New Roman" w:eastAsia="宋体" w:cs="Times New Roman"/>
                <w:color w:val="auto"/>
                <w:kern w:val="0"/>
                <w:sz w:val="18"/>
                <w:szCs w:val="18"/>
                <w:vertAlign w:val="superscript"/>
              </w:rPr>
              <w:t>2</w:t>
            </w:r>
          </w:p>
        </w:tc>
        <w:tc>
          <w:tcPr>
            <w:tcW w:w="2053" w:type="dxa"/>
            <w:gridSpan w:val="2"/>
            <w:tcBorders>
              <w:top w:val="nil"/>
              <w:left w:val="single" w:color="auto" w:sz="4" w:space="0"/>
              <w:bottom w:val="single" w:color="auto" w:sz="12" w:space="0"/>
              <w:right w:val="single" w:color="auto" w:sz="4" w:space="0"/>
            </w:tcBorders>
          </w:tcPr>
          <w:p w14:paraId="25049287">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0.026</w:t>
            </w:r>
          </w:p>
        </w:tc>
        <w:tc>
          <w:tcPr>
            <w:tcW w:w="2053" w:type="dxa"/>
            <w:gridSpan w:val="2"/>
            <w:tcBorders>
              <w:top w:val="nil"/>
              <w:left w:val="single" w:color="auto" w:sz="4" w:space="0"/>
              <w:bottom w:val="single" w:color="auto" w:sz="12" w:space="0"/>
              <w:right w:val="single" w:color="auto" w:sz="4" w:space="0"/>
            </w:tcBorders>
          </w:tcPr>
          <w:p w14:paraId="53238A0F">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0.030</w:t>
            </w:r>
          </w:p>
        </w:tc>
        <w:tc>
          <w:tcPr>
            <w:tcW w:w="2056" w:type="dxa"/>
            <w:gridSpan w:val="2"/>
            <w:tcBorders>
              <w:top w:val="nil"/>
              <w:left w:val="single" w:color="auto" w:sz="4" w:space="0"/>
              <w:bottom w:val="single" w:color="auto" w:sz="12" w:space="0"/>
              <w:right w:val="nil"/>
            </w:tcBorders>
          </w:tcPr>
          <w:p w14:paraId="058B91C6">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0.027</w:t>
            </w:r>
          </w:p>
        </w:tc>
      </w:tr>
    </w:tbl>
    <w:p w14:paraId="215D1AA7">
      <w:pPr>
        <w:ind w:firstLine="332" w:firstLineChars="200"/>
        <w:rPr>
          <w:rFonts w:hint="default" w:ascii="Times New Roman" w:hAnsi="Times New Roman" w:eastAsia="宋体" w:cs="Times New Roman"/>
          <w:b/>
          <w:bCs/>
          <w:color w:val="1D41D5"/>
          <w:sz w:val="18"/>
          <w:szCs w:val="16"/>
          <w:lang w:val="en-US" w:eastAsia="zh-CN"/>
        </w:rPr>
      </w:pPr>
      <w:r>
        <w:rPr>
          <w:rFonts w:hint="eastAsia" w:ascii="Times New Roman" w:hAnsi="Times New Roman" w:eastAsia="宋体" w:cs="Times New Roman"/>
          <w:color w:val="000000"/>
          <w:sz w:val="18"/>
          <w:szCs w:val="16"/>
        </w:rPr>
        <w:t>注：</w:t>
      </w:r>
      <w:r>
        <w:rPr>
          <w:rFonts w:ascii="Times New Roman" w:hAnsi="Times New Roman" w:eastAsia="宋体" w:cs="Times New Roman"/>
          <w:color w:val="000000"/>
          <w:sz w:val="18"/>
          <w:szCs w:val="16"/>
        </w:rPr>
        <w:t>***、**和*分别表示1%、5%和10%的显著性水平。</w:t>
      </w:r>
      <w:r>
        <w:rPr>
          <w:rFonts w:hint="eastAsia" w:ascii="Times New Roman" w:hAnsi="Times New Roman" w:eastAsia="宋体" w:cs="Times New Roman"/>
          <w:b/>
          <w:bCs/>
          <w:color w:val="1D41D5"/>
          <w:sz w:val="18"/>
          <w:szCs w:val="16"/>
          <w:lang w:eastAsia="zh-CN"/>
        </w:rPr>
        <w:t>（</w:t>
      </w:r>
      <w:r>
        <w:rPr>
          <w:rFonts w:hint="eastAsia" w:ascii="Times New Roman" w:hAnsi="Times New Roman" w:eastAsia="宋体" w:cs="Times New Roman"/>
          <w:b/>
          <w:bCs/>
          <w:color w:val="1D41D5"/>
          <w:sz w:val="18"/>
          <w:szCs w:val="16"/>
          <w:lang w:val="en-US" w:eastAsia="zh-CN"/>
        </w:rPr>
        <w:t>仅解释表中出现的星号含义，没出现的不解释）</w:t>
      </w:r>
    </w:p>
    <w:p w14:paraId="1E63E14F">
      <w:pPr>
        <w:spacing w:line="240" w:lineRule="atLeast"/>
        <w:ind w:firstLine="332" w:firstLineChars="200"/>
        <w:rPr>
          <w:rFonts w:ascii="Times New Roman" w:hAnsi="Times New Roman" w:eastAsia="黑体" w:cs="Times New Roman"/>
          <w:bCs/>
          <w:color w:val="000000"/>
          <w:sz w:val="18"/>
          <w:szCs w:val="18"/>
        </w:rPr>
      </w:pPr>
      <w:r>
        <w:rPr>
          <w:rFonts w:hint="eastAsia" w:ascii="Times New Roman" w:hAnsi="Times New Roman" w:eastAsia="黑体" w:cs="Times New Roman"/>
          <w:bCs/>
          <w:color w:val="000000"/>
          <w:sz w:val="18"/>
          <w:szCs w:val="18"/>
        </w:rPr>
        <w:t>表</w:t>
      </w:r>
      <w:r>
        <w:rPr>
          <w:rFonts w:ascii="Times New Roman" w:hAnsi="Times New Roman" w:eastAsia="黑体" w:cs="Times New Roman"/>
          <w:bCs/>
          <w:color w:val="000000"/>
          <w:sz w:val="18"/>
          <w:szCs w:val="18"/>
        </w:rPr>
        <w:t xml:space="preserve">3 </w:t>
      </w:r>
      <w:r>
        <w:rPr>
          <w:rFonts w:hint="eastAsia" w:ascii="Times New Roman" w:hAnsi="Times New Roman" w:eastAsia="黑体" w:cs="Times New Roman"/>
          <w:bCs/>
          <w:color w:val="000000"/>
          <w:sz w:val="18"/>
          <w:szCs w:val="18"/>
        </w:rPr>
        <w:t xml:space="preserve">                     政策实施对外出劳动力占比影响的稳健性检验结果</w:t>
      </w:r>
    </w:p>
    <w:tbl>
      <w:tblPr>
        <w:tblStyle w:val="17"/>
        <w:tblW w:w="8691" w:type="dxa"/>
        <w:jc w:val="center"/>
        <w:tblLayout w:type="fixed"/>
        <w:tblCellMar>
          <w:top w:w="0" w:type="dxa"/>
          <w:left w:w="75" w:type="dxa"/>
          <w:bottom w:w="0" w:type="dxa"/>
          <w:right w:w="75" w:type="dxa"/>
        </w:tblCellMar>
      </w:tblPr>
      <w:tblGrid>
        <w:gridCol w:w="2514"/>
        <w:gridCol w:w="1182"/>
        <w:gridCol w:w="1163"/>
        <w:gridCol w:w="1200"/>
        <w:gridCol w:w="1235"/>
        <w:gridCol w:w="1397"/>
      </w:tblGrid>
      <w:tr w14:paraId="1CF3FE24">
        <w:tblPrEx>
          <w:tblCellMar>
            <w:top w:w="0" w:type="dxa"/>
            <w:left w:w="75" w:type="dxa"/>
            <w:bottom w:w="0" w:type="dxa"/>
            <w:right w:w="75" w:type="dxa"/>
          </w:tblCellMar>
        </w:tblPrEx>
        <w:trPr>
          <w:trHeight w:val="317" w:hRule="atLeast"/>
          <w:jc w:val="center"/>
        </w:trPr>
        <w:tc>
          <w:tcPr>
            <w:tcW w:w="2514" w:type="dxa"/>
            <w:vMerge w:val="restart"/>
            <w:tcBorders>
              <w:top w:val="single" w:color="auto" w:sz="12" w:space="0"/>
              <w:left w:val="nil"/>
              <w:right w:val="single" w:color="auto" w:sz="4" w:space="0"/>
            </w:tcBorders>
            <w:vAlign w:val="center"/>
          </w:tcPr>
          <w:p w14:paraId="04C02F09">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变量</w:t>
            </w:r>
          </w:p>
        </w:tc>
        <w:tc>
          <w:tcPr>
            <w:tcW w:w="6177" w:type="dxa"/>
            <w:gridSpan w:val="5"/>
            <w:tcBorders>
              <w:top w:val="single" w:color="auto" w:sz="12" w:space="0"/>
              <w:left w:val="single" w:color="auto" w:sz="4" w:space="0"/>
              <w:bottom w:val="single" w:color="auto" w:sz="4" w:space="0"/>
            </w:tcBorders>
          </w:tcPr>
          <w:p w14:paraId="2ABCFFAB">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被解释变量：外出劳动力占比</w:t>
            </w:r>
          </w:p>
        </w:tc>
      </w:tr>
      <w:tr w14:paraId="5042A2CD">
        <w:tblPrEx>
          <w:tblCellMar>
            <w:top w:w="0" w:type="dxa"/>
            <w:left w:w="75" w:type="dxa"/>
            <w:bottom w:w="0" w:type="dxa"/>
            <w:right w:w="75" w:type="dxa"/>
          </w:tblCellMar>
        </w:tblPrEx>
        <w:trPr>
          <w:trHeight w:val="317" w:hRule="atLeast"/>
          <w:jc w:val="center"/>
        </w:trPr>
        <w:tc>
          <w:tcPr>
            <w:tcW w:w="2514" w:type="dxa"/>
            <w:vMerge w:val="continue"/>
            <w:tcBorders>
              <w:left w:val="nil"/>
              <w:right w:val="single" w:color="auto" w:sz="4" w:space="0"/>
            </w:tcBorders>
          </w:tcPr>
          <w:p w14:paraId="6DBFD652">
            <w:pPr>
              <w:autoSpaceDE w:val="0"/>
              <w:autoSpaceDN w:val="0"/>
              <w:spacing w:line="300" w:lineRule="exact"/>
              <w:rPr>
                <w:rFonts w:ascii="Times New Roman" w:hAnsi="Times New Roman" w:eastAsia="宋体" w:cs="Times New Roman"/>
                <w:color w:val="auto"/>
                <w:kern w:val="0"/>
                <w:sz w:val="18"/>
                <w:szCs w:val="18"/>
              </w:rPr>
            </w:pPr>
          </w:p>
        </w:tc>
        <w:tc>
          <w:tcPr>
            <w:tcW w:w="1182" w:type="dxa"/>
            <w:tcBorders>
              <w:top w:val="single" w:color="auto" w:sz="4" w:space="0"/>
              <w:left w:val="single" w:color="auto" w:sz="4" w:space="0"/>
              <w:bottom w:val="nil"/>
            </w:tcBorders>
          </w:tcPr>
          <w:p w14:paraId="32DABD54">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剔除“宽带中国”试点样本</w:t>
            </w:r>
          </w:p>
        </w:tc>
        <w:tc>
          <w:tcPr>
            <w:tcW w:w="1163" w:type="dxa"/>
            <w:tcBorders>
              <w:top w:val="single" w:color="auto" w:sz="4" w:space="0"/>
              <w:bottom w:val="nil"/>
            </w:tcBorders>
          </w:tcPr>
          <w:p w14:paraId="30B32C42">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rPr>
              <w:t>剔除</w:t>
            </w:r>
            <w:r>
              <w:rPr>
                <w:rFonts w:ascii="Times New Roman" w:hAnsi="Times New Roman" w:eastAsia="宋体" w:cs="Times New Roman"/>
                <w:color w:val="auto"/>
                <w:kern w:val="0"/>
                <w:sz w:val="18"/>
                <w:szCs w:val="18"/>
              </w:rPr>
              <w:t>75</w:t>
            </w:r>
            <w:r>
              <w:rPr>
                <w:rFonts w:hint="eastAsia" w:ascii="Times New Roman" w:hAnsi="Times New Roman" w:eastAsia="宋体" w:cs="Times New Roman"/>
                <w:color w:val="auto"/>
                <w:kern w:val="0"/>
                <w:sz w:val="18"/>
                <w:szCs w:val="18"/>
              </w:rPr>
              <w:t>分位点以上样本</w:t>
            </w:r>
          </w:p>
        </w:tc>
        <w:tc>
          <w:tcPr>
            <w:tcW w:w="1200" w:type="dxa"/>
            <w:tcBorders>
              <w:top w:val="single" w:color="auto" w:sz="4" w:space="0"/>
              <w:bottom w:val="nil"/>
            </w:tcBorders>
          </w:tcPr>
          <w:p w14:paraId="2456857A">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剔除</w:t>
            </w:r>
            <w:r>
              <w:rPr>
                <w:rFonts w:ascii="Times New Roman" w:hAnsi="Times New Roman" w:eastAsia="宋体" w:cs="Times New Roman"/>
                <w:color w:val="auto"/>
                <w:kern w:val="0"/>
                <w:sz w:val="18"/>
                <w:szCs w:val="18"/>
              </w:rPr>
              <w:t>80</w:t>
            </w:r>
            <w:r>
              <w:rPr>
                <w:rFonts w:hint="eastAsia" w:ascii="Times New Roman" w:hAnsi="Times New Roman" w:eastAsia="宋体" w:cs="Times New Roman"/>
                <w:color w:val="auto"/>
                <w:kern w:val="0"/>
                <w:sz w:val="18"/>
                <w:szCs w:val="18"/>
              </w:rPr>
              <w:t>分位点以上样本</w:t>
            </w:r>
          </w:p>
        </w:tc>
        <w:tc>
          <w:tcPr>
            <w:tcW w:w="1235" w:type="dxa"/>
            <w:tcBorders>
              <w:top w:val="single" w:color="auto" w:sz="4" w:space="0"/>
              <w:bottom w:val="nil"/>
            </w:tcBorders>
          </w:tcPr>
          <w:p w14:paraId="6E2FD188">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剔除</w:t>
            </w:r>
            <w:r>
              <w:rPr>
                <w:rFonts w:ascii="Times New Roman" w:hAnsi="Times New Roman" w:eastAsia="宋体" w:cs="Times New Roman"/>
                <w:color w:val="auto"/>
                <w:kern w:val="0"/>
                <w:sz w:val="18"/>
                <w:szCs w:val="18"/>
              </w:rPr>
              <w:t>90</w:t>
            </w:r>
            <w:r>
              <w:rPr>
                <w:rFonts w:hint="eastAsia" w:ascii="Times New Roman" w:hAnsi="Times New Roman" w:eastAsia="宋体" w:cs="Times New Roman"/>
                <w:color w:val="auto"/>
                <w:kern w:val="0"/>
                <w:sz w:val="18"/>
                <w:szCs w:val="18"/>
              </w:rPr>
              <w:t>分位点以上样本</w:t>
            </w:r>
          </w:p>
        </w:tc>
        <w:tc>
          <w:tcPr>
            <w:tcW w:w="1397" w:type="dxa"/>
            <w:tcBorders>
              <w:top w:val="single" w:color="auto" w:sz="4" w:space="0"/>
              <w:bottom w:val="nil"/>
            </w:tcBorders>
          </w:tcPr>
          <w:p w14:paraId="1387628B">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放宽农村劳动力外出就业的概念</w:t>
            </w:r>
          </w:p>
        </w:tc>
      </w:tr>
      <w:tr w14:paraId="29227F8F">
        <w:tblPrEx>
          <w:tblCellMar>
            <w:top w:w="0" w:type="dxa"/>
            <w:left w:w="75" w:type="dxa"/>
            <w:bottom w:w="0" w:type="dxa"/>
            <w:right w:w="75" w:type="dxa"/>
          </w:tblCellMar>
        </w:tblPrEx>
        <w:trPr>
          <w:trHeight w:val="317" w:hRule="atLeast"/>
          <w:jc w:val="center"/>
        </w:trPr>
        <w:tc>
          <w:tcPr>
            <w:tcW w:w="2514" w:type="dxa"/>
            <w:vMerge w:val="continue"/>
            <w:tcBorders>
              <w:left w:val="nil"/>
              <w:bottom w:val="single" w:color="auto" w:sz="4" w:space="0"/>
              <w:right w:val="single" w:color="auto" w:sz="4" w:space="0"/>
            </w:tcBorders>
          </w:tcPr>
          <w:p w14:paraId="3F81A9EA">
            <w:pPr>
              <w:autoSpaceDE w:val="0"/>
              <w:autoSpaceDN w:val="0"/>
              <w:spacing w:line="300" w:lineRule="exact"/>
              <w:rPr>
                <w:rFonts w:ascii="Times New Roman" w:hAnsi="Times New Roman" w:eastAsia="宋体" w:cs="Times New Roman"/>
                <w:color w:val="auto"/>
                <w:kern w:val="0"/>
                <w:sz w:val="18"/>
                <w:szCs w:val="18"/>
              </w:rPr>
            </w:pPr>
          </w:p>
        </w:tc>
        <w:tc>
          <w:tcPr>
            <w:tcW w:w="1182" w:type="dxa"/>
            <w:tcBorders>
              <w:top w:val="nil"/>
              <w:left w:val="single" w:color="auto" w:sz="4" w:space="0"/>
              <w:bottom w:val="single" w:color="auto" w:sz="4" w:space="0"/>
            </w:tcBorders>
          </w:tcPr>
          <w:p w14:paraId="72FE31C2">
            <w:pPr>
              <w:autoSpaceDE w:val="0"/>
              <w:autoSpaceDN w:val="0"/>
              <w:spacing w:line="30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w:t>
            </w:r>
          </w:p>
        </w:tc>
        <w:tc>
          <w:tcPr>
            <w:tcW w:w="1163" w:type="dxa"/>
            <w:tcBorders>
              <w:top w:val="nil"/>
              <w:bottom w:val="single" w:color="auto" w:sz="4" w:space="0"/>
            </w:tcBorders>
          </w:tcPr>
          <w:p w14:paraId="6F80B073">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w:t>
            </w:r>
          </w:p>
        </w:tc>
        <w:tc>
          <w:tcPr>
            <w:tcW w:w="1200" w:type="dxa"/>
            <w:tcBorders>
              <w:top w:val="nil"/>
              <w:bottom w:val="single" w:color="auto" w:sz="4" w:space="0"/>
            </w:tcBorders>
          </w:tcPr>
          <w:p w14:paraId="6C3ED3BA">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w:t>
            </w:r>
          </w:p>
        </w:tc>
        <w:tc>
          <w:tcPr>
            <w:tcW w:w="1235" w:type="dxa"/>
            <w:tcBorders>
              <w:top w:val="nil"/>
              <w:bottom w:val="single" w:color="auto" w:sz="4" w:space="0"/>
            </w:tcBorders>
          </w:tcPr>
          <w:p w14:paraId="6DF9B055">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w:t>
            </w:r>
          </w:p>
        </w:tc>
        <w:tc>
          <w:tcPr>
            <w:tcW w:w="1397" w:type="dxa"/>
            <w:tcBorders>
              <w:top w:val="nil"/>
              <w:bottom w:val="single" w:color="auto" w:sz="4" w:space="0"/>
            </w:tcBorders>
          </w:tcPr>
          <w:p w14:paraId="7D6F6CE0">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（5）</w:t>
            </w:r>
          </w:p>
        </w:tc>
      </w:tr>
      <w:tr w14:paraId="35E4F6B1">
        <w:tblPrEx>
          <w:tblCellMar>
            <w:top w:w="0" w:type="dxa"/>
            <w:left w:w="75" w:type="dxa"/>
            <w:bottom w:w="0" w:type="dxa"/>
            <w:right w:w="75" w:type="dxa"/>
          </w:tblCellMar>
        </w:tblPrEx>
        <w:trPr>
          <w:trHeight w:val="317" w:hRule="atLeast"/>
          <w:jc w:val="center"/>
        </w:trPr>
        <w:tc>
          <w:tcPr>
            <w:tcW w:w="2514" w:type="dxa"/>
            <w:tcBorders>
              <w:top w:val="single" w:color="auto" w:sz="4" w:space="0"/>
              <w:left w:val="nil"/>
              <w:bottom w:val="nil"/>
              <w:right w:val="single" w:color="auto" w:sz="4" w:space="0"/>
            </w:tcBorders>
          </w:tcPr>
          <w:p w14:paraId="05A0B263">
            <w:pPr>
              <w:autoSpaceDE w:val="0"/>
              <w:autoSpaceDN w:val="0"/>
              <w:spacing w:line="300" w:lineRule="exac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电子商务</w:t>
            </w:r>
            <w:r>
              <w:rPr>
                <w:rFonts w:ascii="Times New Roman" w:hAnsi="Times New Roman" w:eastAsia="宋体" w:cs="Times New Roman"/>
                <w:color w:val="auto"/>
                <w:kern w:val="0"/>
                <w:sz w:val="18"/>
                <w:szCs w:val="18"/>
              </w:rPr>
              <w:t>进农村综合示范</w:t>
            </w:r>
          </w:p>
        </w:tc>
        <w:tc>
          <w:tcPr>
            <w:tcW w:w="1182" w:type="dxa"/>
            <w:tcBorders>
              <w:top w:val="single" w:color="auto" w:sz="4" w:space="0"/>
              <w:left w:val="single" w:color="auto" w:sz="4" w:space="0"/>
              <w:bottom w:val="nil"/>
              <w:right w:val="nil"/>
            </w:tcBorders>
          </w:tcPr>
          <w:p w14:paraId="7DD84BE1">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0.041</w:t>
            </w:r>
            <w:r>
              <w:rPr>
                <w:rFonts w:ascii="Times New Roman" w:hAnsi="Times New Roman" w:eastAsia="宋体" w:cs="Times New Roman"/>
                <w:color w:val="auto"/>
                <w:kern w:val="0"/>
                <w:sz w:val="18"/>
                <w:szCs w:val="18"/>
                <w:vertAlign w:val="superscript"/>
              </w:rPr>
              <w:t>**</w:t>
            </w:r>
          </w:p>
        </w:tc>
        <w:tc>
          <w:tcPr>
            <w:tcW w:w="1163" w:type="dxa"/>
            <w:tcBorders>
              <w:top w:val="single" w:color="auto" w:sz="4" w:space="0"/>
              <w:left w:val="nil"/>
              <w:bottom w:val="nil"/>
              <w:right w:val="nil"/>
            </w:tcBorders>
          </w:tcPr>
          <w:p w14:paraId="132A01D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0.029</w:t>
            </w:r>
            <w:r>
              <w:rPr>
                <w:rFonts w:ascii="Times New Roman" w:hAnsi="Times New Roman" w:eastAsia="宋体" w:cs="Times New Roman"/>
                <w:color w:val="auto"/>
                <w:kern w:val="0"/>
                <w:sz w:val="18"/>
                <w:szCs w:val="18"/>
                <w:vertAlign w:val="superscript"/>
              </w:rPr>
              <w:t>*</w:t>
            </w:r>
          </w:p>
        </w:tc>
        <w:tc>
          <w:tcPr>
            <w:tcW w:w="1200" w:type="dxa"/>
            <w:tcBorders>
              <w:top w:val="single" w:color="auto" w:sz="4" w:space="0"/>
              <w:left w:val="nil"/>
              <w:bottom w:val="nil"/>
              <w:right w:val="nil"/>
            </w:tcBorders>
          </w:tcPr>
          <w:p w14:paraId="50ACB71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0.032</w:t>
            </w:r>
            <w:r>
              <w:rPr>
                <w:rFonts w:ascii="Times New Roman" w:hAnsi="Times New Roman" w:eastAsia="宋体" w:cs="Times New Roman"/>
                <w:color w:val="auto"/>
                <w:kern w:val="0"/>
                <w:sz w:val="18"/>
                <w:szCs w:val="18"/>
                <w:vertAlign w:val="superscript"/>
              </w:rPr>
              <w:t>**</w:t>
            </w:r>
          </w:p>
        </w:tc>
        <w:tc>
          <w:tcPr>
            <w:tcW w:w="1235" w:type="dxa"/>
            <w:tcBorders>
              <w:top w:val="single" w:color="auto" w:sz="4" w:space="0"/>
              <w:left w:val="nil"/>
              <w:right w:val="nil"/>
            </w:tcBorders>
          </w:tcPr>
          <w:p w14:paraId="0F6F7CC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0.030</w:t>
            </w:r>
            <w:r>
              <w:rPr>
                <w:rFonts w:ascii="Times New Roman" w:hAnsi="Times New Roman" w:eastAsia="宋体" w:cs="Times New Roman"/>
                <w:color w:val="auto"/>
                <w:kern w:val="0"/>
                <w:sz w:val="18"/>
                <w:szCs w:val="18"/>
                <w:vertAlign w:val="superscript"/>
              </w:rPr>
              <w:t>**</w:t>
            </w:r>
          </w:p>
        </w:tc>
        <w:tc>
          <w:tcPr>
            <w:tcW w:w="1397" w:type="dxa"/>
            <w:tcBorders>
              <w:top w:val="single" w:color="auto" w:sz="4" w:space="0"/>
              <w:left w:val="nil"/>
              <w:right w:val="nil"/>
            </w:tcBorders>
          </w:tcPr>
          <w:p w14:paraId="7CF25C90">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auto"/>
                <w:kern w:val="0"/>
                <w:sz w:val="18"/>
                <w:szCs w:val="18"/>
              </w:rPr>
              <w:t>0.016</w:t>
            </w:r>
            <w:r>
              <w:rPr>
                <w:rFonts w:ascii="Times New Roman" w:hAnsi="Times New Roman" w:eastAsia="宋体" w:cs="Times New Roman"/>
                <w:color w:val="auto"/>
                <w:kern w:val="0"/>
                <w:sz w:val="18"/>
                <w:szCs w:val="18"/>
                <w:vertAlign w:val="superscript"/>
              </w:rPr>
              <w:t>**</w:t>
            </w:r>
          </w:p>
        </w:tc>
      </w:tr>
      <w:tr w14:paraId="545BDC67">
        <w:tblPrEx>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14:paraId="49994FC8">
            <w:pPr>
              <w:autoSpaceDE w:val="0"/>
              <w:autoSpaceDN w:val="0"/>
              <w:spacing w:line="300" w:lineRule="exact"/>
              <w:rPr>
                <w:rFonts w:ascii="Times New Roman" w:hAnsi="Times New Roman" w:eastAsia="宋体" w:cs="Times New Roman"/>
                <w:color w:val="auto"/>
                <w:kern w:val="0"/>
                <w:sz w:val="18"/>
                <w:szCs w:val="18"/>
              </w:rPr>
            </w:pPr>
          </w:p>
        </w:tc>
        <w:tc>
          <w:tcPr>
            <w:tcW w:w="1182" w:type="dxa"/>
            <w:tcBorders>
              <w:top w:val="nil"/>
              <w:left w:val="single" w:color="auto" w:sz="4" w:space="0"/>
              <w:bottom w:val="nil"/>
              <w:right w:val="nil"/>
            </w:tcBorders>
          </w:tcPr>
          <w:p w14:paraId="24A4276F">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w:t>
            </w:r>
            <w:r>
              <w:rPr>
                <w:rFonts w:ascii="Times New Roman" w:hAnsi="Times New Roman" w:eastAsia="宋体" w:cs="Times New Roman"/>
                <w:color w:val="auto"/>
                <w:kern w:val="0"/>
                <w:sz w:val="18"/>
                <w:szCs w:val="18"/>
              </w:rPr>
              <w:t>0.018</w:t>
            </w:r>
            <w:r>
              <w:rPr>
                <w:rFonts w:hint="eastAsia" w:ascii="Times New Roman" w:hAnsi="Times New Roman" w:eastAsia="宋体" w:cs="Times New Roman"/>
                <w:color w:val="auto"/>
                <w:kern w:val="0"/>
                <w:sz w:val="18"/>
                <w:szCs w:val="18"/>
              </w:rPr>
              <w:t>）</w:t>
            </w:r>
          </w:p>
        </w:tc>
        <w:tc>
          <w:tcPr>
            <w:tcW w:w="1163" w:type="dxa"/>
            <w:tcBorders>
              <w:top w:val="nil"/>
              <w:left w:val="nil"/>
              <w:bottom w:val="nil"/>
              <w:right w:val="nil"/>
            </w:tcBorders>
          </w:tcPr>
          <w:p w14:paraId="0D5CBDEC">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w:t>
            </w:r>
            <w:r>
              <w:rPr>
                <w:rFonts w:ascii="Times New Roman" w:hAnsi="Times New Roman" w:eastAsia="宋体" w:cs="Times New Roman"/>
                <w:color w:val="auto"/>
                <w:kern w:val="0"/>
                <w:sz w:val="18"/>
                <w:szCs w:val="18"/>
              </w:rPr>
              <w:t>0.015</w:t>
            </w:r>
            <w:r>
              <w:rPr>
                <w:rFonts w:hint="eastAsia" w:ascii="Times New Roman" w:hAnsi="Times New Roman" w:eastAsia="宋体" w:cs="Times New Roman"/>
                <w:color w:val="auto"/>
                <w:kern w:val="0"/>
                <w:sz w:val="18"/>
                <w:szCs w:val="18"/>
              </w:rPr>
              <w:t>）</w:t>
            </w:r>
          </w:p>
        </w:tc>
        <w:tc>
          <w:tcPr>
            <w:tcW w:w="1200" w:type="dxa"/>
            <w:tcBorders>
              <w:top w:val="nil"/>
              <w:left w:val="nil"/>
              <w:bottom w:val="nil"/>
              <w:right w:val="nil"/>
            </w:tcBorders>
          </w:tcPr>
          <w:p w14:paraId="6D0DE2CF">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w:t>
            </w:r>
            <w:r>
              <w:rPr>
                <w:rFonts w:ascii="Times New Roman" w:hAnsi="Times New Roman" w:eastAsia="宋体" w:cs="Times New Roman"/>
                <w:color w:val="auto"/>
                <w:kern w:val="0"/>
                <w:sz w:val="18"/>
                <w:szCs w:val="18"/>
              </w:rPr>
              <w:t>0.015</w:t>
            </w:r>
            <w:r>
              <w:rPr>
                <w:rFonts w:hint="eastAsia" w:ascii="Times New Roman" w:hAnsi="Times New Roman" w:eastAsia="宋体" w:cs="Times New Roman"/>
                <w:color w:val="auto"/>
                <w:kern w:val="0"/>
                <w:sz w:val="18"/>
                <w:szCs w:val="18"/>
              </w:rPr>
              <w:t>）</w:t>
            </w:r>
          </w:p>
        </w:tc>
        <w:tc>
          <w:tcPr>
            <w:tcW w:w="1235" w:type="dxa"/>
            <w:tcBorders>
              <w:top w:val="nil"/>
              <w:left w:val="nil"/>
              <w:right w:val="nil"/>
            </w:tcBorders>
          </w:tcPr>
          <w:p w14:paraId="7431B016">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w:t>
            </w:r>
            <w:r>
              <w:rPr>
                <w:rFonts w:ascii="Times New Roman" w:hAnsi="Times New Roman" w:eastAsia="宋体" w:cs="Times New Roman"/>
                <w:color w:val="auto"/>
                <w:kern w:val="0"/>
                <w:sz w:val="18"/>
                <w:szCs w:val="18"/>
              </w:rPr>
              <w:t>0.015</w:t>
            </w:r>
            <w:r>
              <w:rPr>
                <w:rFonts w:hint="eastAsia" w:ascii="Times New Roman" w:hAnsi="Times New Roman" w:eastAsia="宋体" w:cs="Times New Roman"/>
                <w:color w:val="auto"/>
                <w:kern w:val="0"/>
                <w:sz w:val="18"/>
                <w:szCs w:val="18"/>
              </w:rPr>
              <w:t>）</w:t>
            </w:r>
          </w:p>
        </w:tc>
        <w:tc>
          <w:tcPr>
            <w:tcW w:w="1397" w:type="dxa"/>
            <w:tcBorders>
              <w:top w:val="nil"/>
              <w:left w:val="nil"/>
              <w:right w:val="nil"/>
            </w:tcBorders>
          </w:tcPr>
          <w:p w14:paraId="4D8F9A54">
            <w:pPr>
              <w:autoSpaceDE w:val="0"/>
              <w:autoSpaceDN w:val="0"/>
              <w:spacing w:line="30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（0</w:t>
            </w:r>
            <w:r>
              <w:rPr>
                <w:rFonts w:ascii="Times New Roman" w:hAnsi="Times New Roman" w:eastAsia="宋体" w:cs="Times New Roman"/>
                <w:color w:val="auto"/>
                <w:kern w:val="0"/>
                <w:sz w:val="18"/>
                <w:szCs w:val="18"/>
              </w:rPr>
              <w:t>.007</w:t>
            </w:r>
            <w:r>
              <w:rPr>
                <w:rFonts w:hint="eastAsia" w:ascii="Times New Roman" w:hAnsi="Times New Roman" w:eastAsia="宋体" w:cs="Times New Roman"/>
                <w:color w:val="auto"/>
                <w:kern w:val="0"/>
                <w:sz w:val="18"/>
                <w:szCs w:val="18"/>
              </w:rPr>
              <w:t>）</w:t>
            </w:r>
          </w:p>
        </w:tc>
      </w:tr>
      <w:tr w14:paraId="5A6DFFA7">
        <w:tblPrEx>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14:paraId="22AF9CBE">
            <w:pPr>
              <w:autoSpaceDE w:val="0"/>
              <w:autoSpaceDN w:val="0"/>
              <w:spacing w:line="300" w:lineRule="exac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控制变量</w:t>
            </w:r>
          </w:p>
        </w:tc>
        <w:tc>
          <w:tcPr>
            <w:tcW w:w="1182" w:type="dxa"/>
            <w:tcBorders>
              <w:top w:val="nil"/>
              <w:left w:val="single" w:color="auto" w:sz="4" w:space="0"/>
              <w:bottom w:val="nil"/>
              <w:right w:val="nil"/>
            </w:tcBorders>
          </w:tcPr>
          <w:p w14:paraId="64FCB08A">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163" w:type="dxa"/>
            <w:tcBorders>
              <w:top w:val="nil"/>
              <w:left w:val="nil"/>
              <w:bottom w:val="nil"/>
              <w:right w:val="nil"/>
            </w:tcBorders>
          </w:tcPr>
          <w:p w14:paraId="1EFC2917">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00" w:type="dxa"/>
            <w:tcBorders>
              <w:top w:val="nil"/>
              <w:left w:val="nil"/>
              <w:bottom w:val="nil"/>
              <w:right w:val="nil"/>
            </w:tcBorders>
          </w:tcPr>
          <w:p w14:paraId="7239F9A7">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35" w:type="dxa"/>
            <w:tcBorders>
              <w:top w:val="nil"/>
              <w:left w:val="nil"/>
              <w:right w:val="nil"/>
            </w:tcBorders>
          </w:tcPr>
          <w:p w14:paraId="21400A5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397" w:type="dxa"/>
            <w:tcBorders>
              <w:top w:val="nil"/>
              <w:left w:val="nil"/>
              <w:right w:val="nil"/>
            </w:tcBorders>
          </w:tcPr>
          <w:p w14:paraId="5725631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4B04006F">
        <w:tblPrEx>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14:paraId="24A65DA8">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村庄固定效应</w:t>
            </w:r>
          </w:p>
        </w:tc>
        <w:tc>
          <w:tcPr>
            <w:tcW w:w="1182" w:type="dxa"/>
            <w:tcBorders>
              <w:top w:val="nil"/>
              <w:left w:val="single" w:color="auto" w:sz="4" w:space="0"/>
              <w:bottom w:val="nil"/>
              <w:right w:val="nil"/>
            </w:tcBorders>
          </w:tcPr>
          <w:p w14:paraId="6E8B4F5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163" w:type="dxa"/>
            <w:tcBorders>
              <w:top w:val="nil"/>
              <w:left w:val="nil"/>
              <w:bottom w:val="nil"/>
              <w:right w:val="nil"/>
            </w:tcBorders>
          </w:tcPr>
          <w:p w14:paraId="7FC7EE3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00" w:type="dxa"/>
            <w:tcBorders>
              <w:top w:val="nil"/>
              <w:left w:val="nil"/>
              <w:bottom w:val="nil"/>
              <w:right w:val="nil"/>
            </w:tcBorders>
          </w:tcPr>
          <w:p w14:paraId="33B8BA1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35" w:type="dxa"/>
            <w:tcBorders>
              <w:left w:val="nil"/>
              <w:right w:val="nil"/>
            </w:tcBorders>
          </w:tcPr>
          <w:p w14:paraId="6AD09CA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397" w:type="dxa"/>
            <w:tcBorders>
              <w:left w:val="nil"/>
              <w:right w:val="nil"/>
            </w:tcBorders>
          </w:tcPr>
          <w:p w14:paraId="452ABF91">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7BB41134">
        <w:tblPrEx>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14:paraId="063E9A8E">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年份固定效应</w:t>
            </w:r>
          </w:p>
        </w:tc>
        <w:tc>
          <w:tcPr>
            <w:tcW w:w="1182" w:type="dxa"/>
            <w:tcBorders>
              <w:top w:val="nil"/>
              <w:left w:val="single" w:color="auto" w:sz="4" w:space="0"/>
              <w:right w:val="nil"/>
            </w:tcBorders>
          </w:tcPr>
          <w:p w14:paraId="0B3296A3">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163" w:type="dxa"/>
            <w:tcBorders>
              <w:top w:val="nil"/>
              <w:left w:val="nil"/>
              <w:right w:val="nil"/>
            </w:tcBorders>
          </w:tcPr>
          <w:p w14:paraId="64E6047B">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00" w:type="dxa"/>
            <w:tcBorders>
              <w:top w:val="nil"/>
              <w:left w:val="nil"/>
              <w:right w:val="nil"/>
            </w:tcBorders>
          </w:tcPr>
          <w:p w14:paraId="51B3868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35" w:type="dxa"/>
            <w:tcBorders>
              <w:left w:val="nil"/>
              <w:right w:val="nil"/>
            </w:tcBorders>
          </w:tcPr>
          <w:p w14:paraId="3EC3C0F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397" w:type="dxa"/>
            <w:tcBorders>
              <w:left w:val="nil"/>
              <w:right w:val="nil"/>
            </w:tcBorders>
          </w:tcPr>
          <w:p w14:paraId="15BCCEC6">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654DDFDA">
        <w:tblPrEx>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vAlign w:val="center"/>
          </w:tcPr>
          <w:p w14:paraId="3E7CDEC0">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试点选择</w:t>
            </w:r>
            <w:r>
              <w:rPr>
                <w:rFonts w:hint="eastAsia" w:ascii="Times New Roman" w:hAnsi="Times New Roman" w:eastAsia="宋体" w:cs="Times New Roman"/>
                <w:color w:val="auto"/>
                <w:kern w:val="0"/>
                <w:sz w:val="18"/>
                <w:szCs w:val="18"/>
              </w:rPr>
              <w:t>变量</w:t>
            </w:r>
            <w:r>
              <w:rPr>
                <w:rFonts w:hint="eastAsia" w:ascii="宋体" w:hAnsi="宋体" w:eastAsia="宋体" w:cs="宋体"/>
                <w:color w:val="auto"/>
                <w:kern w:val="0"/>
                <w:sz w:val="18"/>
                <w:szCs w:val="18"/>
              </w:rPr>
              <w:t>×</w:t>
            </w:r>
            <w:r>
              <w:rPr>
                <w:rFonts w:hint="eastAsia" w:ascii="Times New Roman" w:hAnsi="Times New Roman" w:eastAsia="宋体" w:cs="Times New Roman"/>
                <w:color w:val="auto"/>
                <w:kern w:val="0"/>
                <w:sz w:val="18"/>
                <w:szCs w:val="18"/>
              </w:rPr>
              <w:t>时间趋势一次项</w:t>
            </w:r>
          </w:p>
        </w:tc>
        <w:tc>
          <w:tcPr>
            <w:tcW w:w="1182" w:type="dxa"/>
            <w:tcBorders>
              <w:top w:val="nil"/>
              <w:left w:val="single" w:color="auto" w:sz="4" w:space="0"/>
              <w:bottom w:val="nil"/>
              <w:right w:val="nil"/>
            </w:tcBorders>
          </w:tcPr>
          <w:p w14:paraId="0993F5BC">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163" w:type="dxa"/>
            <w:tcBorders>
              <w:top w:val="nil"/>
              <w:left w:val="nil"/>
              <w:bottom w:val="nil"/>
              <w:right w:val="nil"/>
            </w:tcBorders>
          </w:tcPr>
          <w:p w14:paraId="4CE3E08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00" w:type="dxa"/>
            <w:tcBorders>
              <w:top w:val="nil"/>
              <w:left w:val="nil"/>
              <w:bottom w:val="nil"/>
              <w:right w:val="nil"/>
            </w:tcBorders>
          </w:tcPr>
          <w:p w14:paraId="5E3168DB">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35" w:type="dxa"/>
            <w:tcBorders>
              <w:left w:val="nil"/>
              <w:right w:val="nil"/>
            </w:tcBorders>
          </w:tcPr>
          <w:p w14:paraId="0345A191">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397" w:type="dxa"/>
            <w:tcBorders>
              <w:left w:val="nil"/>
              <w:right w:val="nil"/>
            </w:tcBorders>
          </w:tcPr>
          <w:p w14:paraId="0E57B15C">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6A349639">
        <w:tblPrEx>
          <w:tblCellMar>
            <w:top w:w="0" w:type="dxa"/>
            <w:left w:w="75" w:type="dxa"/>
            <w:bottom w:w="0" w:type="dxa"/>
            <w:right w:w="75" w:type="dxa"/>
          </w:tblCellMar>
        </w:tblPrEx>
        <w:trPr>
          <w:trHeight w:val="317" w:hRule="atLeast"/>
          <w:jc w:val="center"/>
        </w:trPr>
        <w:tc>
          <w:tcPr>
            <w:tcW w:w="2514" w:type="dxa"/>
            <w:tcBorders>
              <w:top w:val="nil"/>
              <w:left w:val="nil"/>
              <w:right w:val="single" w:color="auto" w:sz="4" w:space="0"/>
            </w:tcBorders>
            <w:vAlign w:val="center"/>
          </w:tcPr>
          <w:p w14:paraId="7362CE43">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试点选择</w:t>
            </w:r>
            <w:r>
              <w:rPr>
                <w:rFonts w:hint="eastAsia" w:ascii="Times New Roman" w:hAnsi="Times New Roman" w:eastAsia="宋体" w:cs="Times New Roman"/>
                <w:color w:val="auto"/>
                <w:kern w:val="0"/>
                <w:sz w:val="18"/>
                <w:szCs w:val="18"/>
              </w:rPr>
              <w:t>变量</w:t>
            </w:r>
            <w:r>
              <w:rPr>
                <w:rFonts w:hint="eastAsia" w:ascii="宋体" w:hAnsi="宋体" w:eastAsia="宋体" w:cs="宋体"/>
                <w:color w:val="auto"/>
                <w:kern w:val="0"/>
                <w:sz w:val="18"/>
                <w:szCs w:val="18"/>
              </w:rPr>
              <w:t>×</w:t>
            </w:r>
            <w:r>
              <w:rPr>
                <w:rFonts w:hint="eastAsia" w:ascii="Times New Roman" w:hAnsi="Times New Roman" w:eastAsia="宋体" w:cs="Times New Roman"/>
                <w:color w:val="auto"/>
                <w:kern w:val="0"/>
                <w:sz w:val="18"/>
                <w:szCs w:val="18"/>
              </w:rPr>
              <w:t>时间趋势二次项</w:t>
            </w:r>
          </w:p>
        </w:tc>
        <w:tc>
          <w:tcPr>
            <w:tcW w:w="1182" w:type="dxa"/>
            <w:tcBorders>
              <w:top w:val="nil"/>
              <w:left w:val="single" w:color="auto" w:sz="4" w:space="0"/>
              <w:right w:val="nil"/>
            </w:tcBorders>
          </w:tcPr>
          <w:p w14:paraId="0A570B2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163" w:type="dxa"/>
            <w:tcBorders>
              <w:top w:val="nil"/>
              <w:left w:val="nil"/>
              <w:right w:val="nil"/>
            </w:tcBorders>
          </w:tcPr>
          <w:p w14:paraId="370855F0">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00" w:type="dxa"/>
            <w:tcBorders>
              <w:top w:val="nil"/>
              <w:left w:val="nil"/>
              <w:right w:val="nil"/>
            </w:tcBorders>
          </w:tcPr>
          <w:p w14:paraId="51CAB7EC">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35" w:type="dxa"/>
            <w:tcBorders>
              <w:left w:val="nil"/>
              <w:right w:val="nil"/>
            </w:tcBorders>
          </w:tcPr>
          <w:p w14:paraId="289B98CB">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397" w:type="dxa"/>
            <w:tcBorders>
              <w:left w:val="nil"/>
              <w:right w:val="nil"/>
            </w:tcBorders>
          </w:tcPr>
          <w:p w14:paraId="58A582E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05E2C156">
        <w:tblPrEx>
          <w:tblCellMar>
            <w:top w:w="0" w:type="dxa"/>
            <w:left w:w="75" w:type="dxa"/>
            <w:bottom w:w="0" w:type="dxa"/>
            <w:right w:w="75" w:type="dxa"/>
          </w:tblCellMar>
        </w:tblPrEx>
        <w:trPr>
          <w:trHeight w:val="317" w:hRule="atLeast"/>
          <w:jc w:val="center"/>
        </w:trPr>
        <w:tc>
          <w:tcPr>
            <w:tcW w:w="2514" w:type="dxa"/>
            <w:tcBorders>
              <w:top w:val="nil"/>
              <w:left w:val="nil"/>
              <w:bottom w:val="single" w:color="auto" w:sz="4" w:space="0"/>
              <w:right w:val="single" w:color="auto" w:sz="4" w:space="0"/>
            </w:tcBorders>
            <w:vAlign w:val="center"/>
          </w:tcPr>
          <w:p w14:paraId="59E0002F">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试点选择</w:t>
            </w:r>
            <w:r>
              <w:rPr>
                <w:rFonts w:hint="eastAsia" w:ascii="Times New Roman" w:hAnsi="Times New Roman" w:eastAsia="宋体" w:cs="Times New Roman"/>
                <w:color w:val="auto"/>
                <w:kern w:val="0"/>
                <w:sz w:val="18"/>
                <w:szCs w:val="18"/>
              </w:rPr>
              <w:t>变量</w:t>
            </w:r>
            <w:r>
              <w:rPr>
                <w:rFonts w:hint="eastAsia" w:ascii="宋体" w:hAnsi="宋体" w:eastAsia="宋体" w:cs="宋体"/>
                <w:color w:val="auto"/>
                <w:kern w:val="0"/>
                <w:sz w:val="18"/>
                <w:szCs w:val="18"/>
              </w:rPr>
              <w:t>×</w:t>
            </w:r>
            <w:r>
              <w:rPr>
                <w:rFonts w:hint="eastAsia" w:ascii="Times New Roman" w:hAnsi="Times New Roman" w:eastAsia="宋体" w:cs="Times New Roman"/>
                <w:color w:val="auto"/>
                <w:kern w:val="0"/>
                <w:sz w:val="18"/>
                <w:szCs w:val="18"/>
              </w:rPr>
              <w:t>时间趋势三次项</w:t>
            </w:r>
          </w:p>
        </w:tc>
        <w:tc>
          <w:tcPr>
            <w:tcW w:w="1182" w:type="dxa"/>
            <w:tcBorders>
              <w:top w:val="nil"/>
              <w:left w:val="single" w:color="auto" w:sz="4" w:space="0"/>
              <w:bottom w:val="single" w:color="auto" w:sz="4" w:space="0"/>
              <w:right w:val="nil"/>
            </w:tcBorders>
          </w:tcPr>
          <w:p w14:paraId="30A59866">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163" w:type="dxa"/>
            <w:tcBorders>
              <w:top w:val="nil"/>
              <w:left w:val="nil"/>
              <w:bottom w:val="single" w:color="auto" w:sz="4" w:space="0"/>
              <w:right w:val="nil"/>
            </w:tcBorders>
          </w:tcPr>
          <w:p w14:paraId="252DA63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00" w:type="dxa"/>
            <w:tcBorders>
              <w:top w:val="nil"/>
              <w:left w:val="nil"/>
              <w:bottom w:val="single" w:color="auto" w:sz="4" w:space="0"/>
              <w:right w:val="nil"/>
            </w:tcBorders>
          </w:tcPr>
          <w:p w14:paraId="60E0BA6D">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235" w:type="dxa"/>
            <w:tcBorders>
              <w:left w:val="nil"/>
              <w:bottom w:val="single" w:color="auto" w:sz="4" w:space="0"/>
              <w:right w:val="nil"/>
            </w:tcBorders>
          </w:tcPr>
          <w:p w14:paraId="1233DD87">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c>
          <w:tcPr>
            <w:tcW w:w="1397" w:type="dxa"/>
            <w:tcBorders>
              <w:left w:val="nil"/>
              <w:bottom w:val="single" w:color="auto" w:sz="4" w:space="0"/>
              <w:right w:val="nil"/>
            </w:tcBorders>
          </w:tcPr>
          <w:p w14:paraId="7F22E585">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已控制</w:t>
            </w:r>
          </w:p>
        </w:tc>
      </w:tr>
      <w:tr w14:paraId="3F5991B6">
        <w:tblPrEx>
          <w:tblCellMar>
            <w:top w:w="0" w:type="dxa"/>
            <w:left w:w="75" w:type="dxa"/>
            <w:bottom w:w="0" w:type="dxa"/>
            <w:right w:w="75" w:type="dxa"/>
          </w:tblCellMar>
        </w:tblPrEx>
        <w:trPr>
          <w:trHeight w:val="317" w:hRule="atLeast"/>
          <w:jc w:val="center"/>
        </w:trPr>
        <w:tc>
          <w:tcPr>
            <w:tcW w:w="2514" w:type="dxa"/>
            <w:tcBorders>
              <w:top w:val="single" w:color="auto" w:sz="4" w:space="0"/>
              <w:left w:val="nil"/>
              <w:bottom w:val="nil"/>
              <w:right w:val="single" w:color="auto" w:sz="4" w:space="0"/>
            </w:tcBorders>
            <w:vAlign w:val="center"/>
          </w:tcPr>
          <w:p w14:paraId="16C3E9B1">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观测值</w:t>
            </w:r>
          </w:p>
        </w:tc>
        <w:tc>
          <w:tcPr>
            <w:tcW w:w="1182" w:type="dxa"/>
            <w:tcBorders>
              <w:top w:val="single" w:color="auto" w:sz="4" w:space="0"/>
              <w:left w:val="single" w:color="auto" w:sz="4" w:space="0"/>
              <w:bottom w:val="nil"/>
              <w:right w:val="nil"/>
            </w:tcBorders>
          </w:tcPr>
          <w:p w14:paraId="611EB2C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2315</w:t>
            </w:r>
          </w:p>
        </w:tc>
        <w:tc>
          <w:tcPr>
            <w:tcW w:w="1163" w:type="dxa"/>
            <w:tcBorders>
              <w:top w:val="single" w:color="auto" w:sz="4" w:space="0"/>
              <w:left w:val="nil"/>
              <w:bottom w:val="nil"/>
              <w:right w:val="nil"/>
            </w:tcBorders>
          </w:tcPr>
          <w:p w14:paraId="47BB8BDE">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2341</w:t>
            </w:r>
          </w:p>
        </w:tc>
        <w:tc>
          <w:tcPr>
            <w:tcW w:w="1200" w:type="dxa"/>
            <w:tcBorders>
              <w:top w:val="single" w:color="auto" w:sz="4" w:space="0"/>
              <w:left w:val="nil"/>
              <w:bottom w:val="nil"/>
              <w:right w:val="nil"/>
            </w:tcBorders>
          </w:tcPr>
          <w:p w14:paraId="4E65A073">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2398</w:t>
            </w:r>
          </w:p>
        </w:tc>
        <w:tc>
          <w:tcPr>
            <w:tcW w:w="1235" w:type="dxa"/>
            <w:tcBorders>
              <w:top w:val="single" w:color="auto" w:sz="4" w:space="0"/>
              <w:left w:val="nil"/>
              <w:bottom w:val="nil"/>
              <w:right w:val="nil"/>
            </w:tcBorders>
          </w:tcPr>
          <w:p w14:paraId="70AF8E71">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2503</w:t>
            </w:r>
          </w:p>
        </w:tc>
        <w:tc>
          <w:tcPr>
            <w:tcW w:w="1397" w:type="dxa"/>
            <w:tcBorders>
              <w:top w:val="single" w:color="auto" w:sz="4" w:space="0"/>
              <w:left w:val="nil"/>
              <w:bottom w:val="nil"/>
              <w:right w:val="nil"/>
            </w:tcBorders>
          </w:tcPr>
          <w:p w14:paraId="707BDF94">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2726</w:t>
            </w:r>
          </w:p>
        </w:tc>
      </w:tr>
      <w:tr w14:paraId="2108D48E">
        <w:tblPrEx>
          <w:tblCellMar>
            <w:top w:w="0" w:type="dxa"/>
            <w:left w:w="75" w:type="dxa"/>
            <w:bottom w:w="0" w:type="dxa"/>
            <w:right w:w="75" w:type="dxa"/>
          </w:tblCellMar>
        </w:tblPrEx>
        <w:trPr>
          <w:trHeight w:val="317" w:hRule="atLeast"/>
          <w:jc w:val="center"/>
        </w:trPr>
        <w:tc>
          <w:tcPr>
            <w:tcW w:w="2514" w:type="dxa"/>
            <w:tcBorders>
              <w:top w:val="nil"/>
              <w:left w:val="nil"/>
              <w:bottom w:val="single" w:color="auto" w:sz="12" w:space="0"/>
              <w:right w:val="single" w:color="auto" w:sz="4" w:space="0"/>
            </w:tcBorders>
            <w:vAlign w:val="center"/>
          </w:tcPr>
          <w:p w14:paraId="5D591270">
            <w:pPr>
              <w:autoSpaceDE w:val="0"/>
              <w:autoSpaceDN w:val="0"/>
              <w:spacing w:line="300" w:lineRule="exac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调整后的R</w:t>
            </w:r>
            <w:r>
              <w:rPr>
                <w:rFonts w:ascii="Times New Roman" w:hAnsi="Times New Roman" w:eastAsia="宋体" w:cs="Times New Roman"/>
                <w:color w:val="auto"/>
                <w:kern w:val="0"/>
                <w:sz w:val="18"/>
                <w:szCs w:val="18"/>
                <w:vertAlign w:val="superscript"/>
              </w:rPr>
              <w:t>2</w:t>
            </w:r>
          </w:p>
        </w:tc>
        <w:tc>
          <w:tcPr>
            <w:tcW w:w="1182" w:type="dxa"/>
            <w:tcBorders>
              <w:top w:val="nil"/>
              <w:left w:val="single" w:color="auto" w:sz="4" w:space="0"/>
              <w:bottom w:val="single" w:color="auto" w:sz="12" w:space="0"/>
              <w:right w:val="nil"/>
            </w:tcBorders>
          </w:tcPr>
          <w:p w14:paraId="7B6DA63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0.045</w:t>
            </w:r>
          </w:p>
        </w:tc>
        <w:tc>
          <w:tcPr>
            <w:tcW w:w="1163" w:type="dxa"/>
            <w:tcBorders>
              <w:top w:val="nil"/>
              <w:left w:val="nil"/>
              <w:bottom w:val="single" w:color="auto" w:sz="12" w:space="0"/>
              <w:right w:val="nil"/>
            </w:tcBorders>
          </w:tcPr>
          <w:p w14:paraId="2F1BD150">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0.039</w:t>
            </w:r>
          </w:p>
        </w:tc>
        <w:tc>
          <w:tcPr>
            <w:tcW w:w="1200" w:type="dxa"/>
            <w:tcBorders>
              <w:top w:val="nil"/>
              <w:left w:val="nil"/>
              <w:bottom w:val="single" w:color="auto" w:sz="12" w:space="0"/>
              <w:right w:val="nil"/>
            </w:tcBorders>
          </w:tcPr>
          <w:p w14:paraId="73F6AD68">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0.040</w:t>
            </w:r>
          </w:p>
        </w:tc>
        <w:tc>
          <w:tcPr>
            <w:tcW w:w="1235" w:type="dxa"/>
            <w:tcBorders>
              <w:top w:val="nil"/>
              <w:left w:val="nil"/>
              <w:bottom w:val="single" w:color="auto" w:sz="12" w:space="0"/>
              <w:right w:val="nil"/>
            </w:tcBorders>
          </w:tcPr>
          <w:p w14:paraId="2B8A65EC">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0.034</w:t>
            </w:r>
          </w:p>
        </w:tc>
        <w:tc>
          <w:tcPr>
            <w:tcW w:w="1397" w:type="dxa"/>
            <w:tcBorders>
              <w:top w:val="nil"/>
              <w:left w:val="nil"/>
              <w:bottom w:val="single" w:color="auto" w:sz="12" w:space="0"/>
              <w:right w:val="nil"/>
            </w:tcBorders>
          </w:tcPr>
          <w:p w14:paraId="00FBD7D2">
            <w:pPr>
              <w:autoSpaceDE w:val="0"/>
              <w:autoSpaceDN w:val="0"/>
              <w:spacing w:line="30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0.015</w:t>
            </w:r>
          </w:p>
        </w:tc>
      </w:tr>
    </w:tbl>
    <w:p w14:paraId="09CE00A7">
      <w:pPr>
        <w:ind w:firstLine="332" w:firstLineChars="200"/>
        <w:rPr>
          <w:rFonts w:hint="default" w:ascii="Times New Roman" w:hAnsi="Times New Roman" w:eastAsia="宋体" w:cs="Times New Roman"/>
          <w:b/>
          <w:bCs/>
          <w:color w:val="1D41D5"/>
          <w:sz w:val="18"/>
          <w:szCs w:val="16"/>
          <w:lang w:val="en-US" w:eastAsia="zh-CN"/>
        </w:rPr>
      </w:pPr>
      <w:r>
        <w:rPr>
          <w:rFonts w:hint="eastAsia" w:ascii="Times New Roman" w:hAnsi="Times New Roman" w:eastAsia="宋体" w:cs="Times New Roman"/>
          <w:color w:val="000000"/>
          <w:sz w:val="18"/>
          <w:szCs w:val="16"/>
        </w:rPr>
        <w:t>注：①</w:t>
      </w:r>
      <w:r>
        <w:rPr>
          <w:rFonts w:ascii="Times New Roman" w:hAnsi="Times New Roman" w:eastAsia="宋体" w:cs="Times New Roman"/>
          <w:color w:val="000000"/>
          <w:sz w:val="18"/>
          <w:szCs w:val="16"/>
        </w:rPr>
        <w:t>**和*分别表示5%和10%的显著性水平</w:t>
      </w:r>
      <w:r>
        <w:rPr>
          <w:rFonts w:hint="eastAsia" w:ascii="Times New Roman" w:hAnsi="Times New Roman" w:eastAsia="宋体" w:cs="Times New Roman"/>
          <w:color w:val="000000"/>
          <w:sz w:val="18"/>
          <w:szCs w:val="16"/>
        </w:rPr>
        <w:t>。②括号内为稳健标准误。</w:t>
      </w:r>
      <w:r>
        <w:rPr>
          <w:rFonts w:hint="eastAsia" w:ascii="Times New Roman" w:hAnsi="Times New Roman" w:eastAsia="宋体" w:cs="Times New Roman"/>
          <w:b/>
          <w:bCs/>
          <w:color w:val="1D41D5"/>
          <w:sz w:val="18"/>
          <w:szCs w:val="16"/>
          <w:lang w:eastAsia="zh-CN"/>
        </w:rPr>
        <w:t>（</w:t>
      </w:r>
      <w:r>
        <w:rPr>
          <w:rFonts w:hint="eastAsia" w:ascii="Times New Roman" w:hAnsi="Times New Roman" w:eastAsia="宋体" w:cs="Times New Roman"/>
          <w:b/>
          <w:bCs/>
          <w:color w:val="1D41D5"/>
          <w:sz w:val="18"/>
          <w:szCs w:val="16"/>
          <w:lang w:val="en-US" w:eastAsia="zh-CN"/>
        </w:rPr>
        <w:t>仅解释表中出现的星号含义，没出现的不解释）</w:t>
      </w:r>
    </w:p>
    <w:p w14:paraId="2231FCE8">
      <w:pPr>
        <w:spacing w:line="240" w:lineRule="atLeast"/>
        <w:ind w:firstLine="332" w:firstLineChars="200"/>
        <w:rPr>
          <w:rFonts w:ascii="Times New Roman" w:hAnsi="Times New Roman" w:eastAsia="宋体" w:cs="Times New Roman"/>
          <w:color w:val="000000"/>
          <w:sz w:val="18"/>
          <w:szCs w:val="18"/>
        </w:rPr>
      </w:pPr>
    </w:p>
    <w:p w14:paraId="6CB65D3F">
      <w:pPr>
        <w:pStyle w:val="2"/>
        <w:spacing w:line="240" w:lineRule="atLeast"/>
        <w:ind w:leftChars="0" w:firstLine="0"/>
        <w:rPr>
          <w:rFonts w:ascii="黑体" w:hAnsi="黑体" w:eastAsia="黑体"/>
          <w:color w:val="FF0000"/>
          <w:sz w:val="21"/>
          <w:szCs w:val="21"/>
        </w:rPr>
      </w:pPr>
      <w:r>
        <w:rPr>
          <w:rFonts w:hint="eastAsia" w:ascii="黑体" w:hAnsi="黑体" w:eastAsia="黑体"/>
          <w:color w:val="FF0000"/>
          <w:sz w:val="21"/>
          <w:szCs w:val="21"/>
        </w:rPr>
        <w:t>【回归结果表规范】</w:t>
      </w:r>
    </w:p>
    <w:p w14:paraId="6B05B1B1">
      <w:pPr>
        <w:pStyle w:val="2"/>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1.</w:t>
      </w:r>
      <w:r>
        <w:rPr>
          <w:rFonts w:hint="eastAsia" w:ascii="Times New Roman" w:hAnsi="Times New Roman" w:eastAsia="宋体"/>
          <w:color w:val="FF0000"/>
          <w:sz w:val="21"/>
          <w:szCs w:val="21"/>
        </w:rPr>
        <w:t>系数和标准误可根据表格宽度分为两列或合为一列。</w:t>
      </w:r>
    </w:p>
    <w:p w14:paraId="0B5C6202">
      <w:pPr>
        <w:pStyle w:val="2"/>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2.</w:t>
      </w:r>
      <w:r>
        <w:rPr>
          <w:rFonts w:hint="eastAsia" w:ascii="Times New Roman" w:hAnsi="Times New Roman" w:eastAsia="宋体"/>
          <w:color w:val="FF0000"/>
          <w:sz w:val="21"/>
          <w:szCs w:val="21"/>
        </w:rPr>
        <w:t>回归结果表中变量名称及出现顺序，须与正文中和变量定义表中完全一致。</w:t>
      </w:r>
    </w:p>
    <w:p w14:paraId="487591E7">
      <w:pPr>
        <w:pStyle w:val="2"/>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3.</w:t>
      </w:r>
      <w:r>
        <w:rPr>
          <w:rFonts w:hint="eastAsia" w:ascii="Times New Roman" w:hAnsi="Times New Roman" w:eastAsia="宋体"/>
          <w:color w:val="FF0000"/>
          <w:sz w:val="21"/>
          <w:szCs w:val="21"/>
        </w:rPr>
        <w:t>表格中括号为“（）”而非“(</w:t>
      </w:r>
      <w:r>
        <w:rPr>
          <w:rFonts w:ascii="Times New Roman" w:hAnsi="Times New Roman" w:eastAsia="宋体"/>
          <w:color w:val="FF0000"/>
          <w:sz w:val="21"/>
          <w:szCs w:val="21"/>
        </w:rPr>
        <w:t>)</w:t>
      </w:r>
      <w:r>
        <w:rPr>
          <w:rFonts w:hint="eastAsia" w:ascii="Times New Roman" w:hAnsi="Times New Roman" w:eastAsia="宋体"/>
          <w:color w:val="FF0000"/>
          <w:sz w:val="21"/>
          <w:szCs w:val="21"/>
        </w:rPr>
        <w:t>”。</w:t>
      </w:r>
    </w:p>
    <w:p w14:paraId="257D338C">
      <w:pPr>
        <w:pStyle w:val="2"/>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4.</w:t>
      </w:r>
      <w:r>
        <w:rPr>
          <w:rFonts w:hint="eastAsia" w:ascii="Times New Roman" w:hAnsi="Times New Roman" w:eastAsia="宋体"/>
          <w:color w:val="FF0000"/>
          <w:sz w:val="21"/>
          <w:szCs w:val="21"/>
        </w:rPr>
        <w:t>表格中</w:t>
      </w:r>
      <w:r>
        <w:rPr>
          <w:rFonts w:hint="eastAsia" w:ascii="Times New Roman" w:hAnsi="Times New Roman" w:eastAsia="宋体"/>
          <w:color w:val="FF0000"/>
          <w:sz w:val="21"/>
          <w:szCs w:val="21"/>
          <w:vertAlign w:val="superscript"/>
        </w:rPr>
        <w:t>*</w:t>
      </w:r>
      <w:r>
        <w:rPr>
          <w:rFonts w:hint="eastAsia" w:ascii="Times New Roman" w:hAnsi="Times New Roman" w:eastAsia="宋体"/>
          <w:color w:val="FF0000"/>
          <w:sz w:val="21"/>
          <w:szCs w:val="21"/>
        </w:rPr>
        <w:t>为上标格式，表注中*为正常格式。</w:t>
      </w:r>
    </w:p>
    <w:p w14:paraId="51575AEE">
      <w:pPr>
        <w:pStyle w:val="2"/>
        <w:ind w:leftChars="0" w:firstLine="0"/>
        <w:rPr>
          <w:rFonts w:ascii="Times New Roman" w:hAnsi="Times New Roman" w:eastAsia="宋体"/>
          <w:color w:val="FF0000"/>
          <w:sz w:val="21"/>
          <w:szCs w:val="21"/>
        </w:rPr>
      </w:pPr>
    </w:p>
    <w:p w14:paraId="391C4A7F">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drawing>
          <wp:inline distT="0" distB="0" distL="0" distR="0">
            <wp:extent cx="3917950" cy="2756535"/>
            <wp:effectExtent l="0" t="0" r="6350" b="5715"/>
            <wp:docPr id="850698184" name="图片 85069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98184" name="图片 850698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48954" cy="2778422"/>
                    </a:xfrm>
                    <a:prstGeom prst="rect">
                      <a:avLst/>
                    </a:prstGeom>
                    <a:noFill/>
                    <a:ln>
                      <a:noFill/>
                    </a:ln>
                  </pic:spPr>
                </pic:pic>
              </a:graphicData>
            </a:graphic>
          </wp:inline>
        </w:drawing>
      </w:r>
    </w:p>
    <w:p w14:paraId="5492F0DD">
      <w:pPr>
        <w:ind w:firstLine="332" w:firstLineChars="200"/>
        <w:jc w:val="center"/>
        <w:rPr>
          <w:rFonts w:ascii="Times New Roman" w:hAnsi="Times New Roman" w:eastAsia="黑体" w:cs="Times New Roman"/>
          <w:bCs/>
          <w:color w:val="000000"/>
          <w:sz w:val="18"/>
          <w:szCs w:val="18"/>
        </w:rPr>
      </w:pPr>
      <w:r>
        <w:rPr>
          <w:rFonts w:ascii="Times New Roman" w:hAnsi="Times New Roman" w:eastAsia="黑体" w:cs="Times New Roman"/>
          <w:bCs/>
          <w:color w:val="000000"/>
          <w:sz w:val="18"/>
          <w:szCs w:val="18"/>
        </w:rPr>
        <w:t xml:space="preserve">图1 </w:t>
      </w:r>
      <w:r>
        <w:rPr>
          <w:rFonts w:hint="eastAsia" w:ascii="Times New Roman" w:hAnsi="Times New Roman" w:eastAsia="黑体" w:cs="Times New Roman"/>
          <w:bCs/>
          <w:color w:val="000000"/>
          <w:sz w:val="18"/>
          <w:szCs w:val="18"/>
        </w:rPr>
        <w:t xml:space="preserve"> “</w:t>
      </w:r>
      <w:r>
        <w:rPr>
          <w:rFonts w:ascii="Times New Roman" w:hAnsi="Times New Roman" w:eastAsia="黑体" w:cs="Times New Roman"/>
          <w:bCs/>
          <w:color w:val="000000"/>
          <w:sz w:val="18"/>
          <w:szCs w:val="18"/>
        </w:rPr>
        <w:t>电子商务进农村综合示范</w:t>
      </w:r>
      <w:r>
        <w:rPr>
          <w:rFonts w:hint="eastAsia" w:ascii="Times New Roman" w:hAnsi="Times New Roman" w:eastAsia="黑体" w:cs="Times New Roman"/>
          <w:bCs/>
          <w:color w:val="000000"/>
          <w:sz w:val="18"/>
          <w:szCs w:val="18"/>
        </w:rPr>
        <w:t>”政策实施效果的反事实估计结果</w:t>
      </w:r>
    </w:p>
    <w:p w14:paraId="47EC766B">
      <w:pPr>
        <w:pStyle w:val="2"/>
        <w:spacing w:line="240" w:lineRule="atLeast"/>
        <w:ind w:leftChars="0" w:firstLine="0"/>
        <w:rPr>
          <w:rFonts w:ascii="黑体" w:hAnsi="黑体" w:eastAsia="黑体"/>
          <w:color w:val="FF0000"/>
          <w:sz w:val="21"/>
          <w:szCs w:val="21"/>
        </w:rPr>
      </w:pPr>
      <w:r>
        <w:rPr>
          <w:rFonts w:hint="eastAsia" w:ascii="黑体" w:hAnsi="黑体" w:eastAsia="黑体"/>
          <w:color w:val="FF0000"/>
          <w:sz w:val="21"/>
          <w:szCs w:val="21"/>
        </w:rPr>
        <w:t>【插图规范】</w:t>
      </w:r>
    </w:p>
    <w:p w14:paraId="2380E1D0">
      <w:pPr>
        <w:pStyle w:val="2"/>
        <w:ind w:leftChars="0" w:firstLine="392" w:firstLineChars="200"/>
        <w:rPr>
          <w:rFonts w:ascii="Times New Roman" w:hAnsi="Times New Roman" w:eastAsia="宋体"/>
          <w:color w:val="FF0000"/>
          <w:sz w:val="21"/>
          <w:szCs w:val="21"/>
        </w:rPr>
      </w:pPr>
      <w:r>
        <w:rPr>
          <w:rFonts w:ascii="Times New Roman" w:hAnsi="Times New Roman" w:eastAsia="宋体"/>
          <w:color w:val="FF0000"/>
          <w:sz w:val="21"/>
          <w:szCs w:val="21"/>
        </w:rPr>
        <w:t>1.</w:t>
      </w:r>
      <w:r>
        <w:rPr>
          <w:rFonts w:hint="eastAsia" w:ascii="Times New Roman" w:hAnsi="Times New Roman" w:eastAsia="宋体"/>
          <w:color w:val="FF0000"/>
          <w:sz w:val="21"/>
          <w:szCs w:val="21"/>
        </w:rPr>
        <w:t>图中的中文为宋体，英文和数字为Times</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New</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R</w:t>
      </w:r>
      <w:r>
        <w:rPr>
          <w:rFonts w:ascii="Times New Roman" w:hAnsi="Times New Roman" w:eastAsia="宋体"/>
          <w:color w:val="FF0000"/>
          <w:sz w:val="21"/>
          <w:szCs w:val="21"/>
        </w:rPr>
        <w:t>o</w:t>
      </w:r>
      <w:r>
        <w:rPr>
          <w:rFonts w:hint="eastAsia" w:ascii="Times New Roman" w:hAnsi="Times New Roman" w:eastAsia="宋体"/>
          <w:color w:val="FF0000"/>
          <w:sz w:val="21"/>
          <w:szCs w:val="21"/>
        </w:rPr>
        <w:t>man，显示效果与正文中小五号字大小一致。</w:t>
      </w:r>
    </w:p>
    <w:p w14:paraId="6A4120C6">
      <w:pPr>
        <w:pStyle w:val="2"/>
        <w:ind w:leftChars="0" w:firstLine="392" w:firstLineChars="200"/>
        <w:rPr>
          <w:rFonts w:ascii="Times New Roman" w:hAnsi="Times New Roman" w:eastAsia="宋体"/>
          <w:color w:val="FF0000"/>
          <w:sz w:val="21"/>
          <w:szCs w:val="21"/>
        </w:rPr>
      </w:pPr>
      <w:r>
        <w:rPr>
          <w:rFonts w:ascii="Times New Roman" w:hAnsi="Times New Roman" w:eastAsia="宋体"/>
          <w:color w:val="FF0000"/>
          <w:sz w:val="21"/>
          <w:szCs w:val="21"/>
        </w:rPr>
        <w:t>2.</w:t>
      </w:r>
      <w:r>
        <w:rPr>
          <w:rFonts w:hint="eastAsia" w:ascii="Times New Roman" w:hAnsi="Times New Roman" w:eastAsia="宋体"/>
          <w:color w:val="FF0000"/>
          <w:sz w:val="21"/>
          <w:szCs w:val="21"/>
        </w:rPr>
        <w:t>横坐标名称横向排列，纵坐标名称纵向排列；都居中，或居于横坐标右侧，纵坐标左侧上端；全文保持统一。</w:t>
      </w:r>
    </w:p>
    <w:p w14:paraId="0F8AA719">
      <w:pPr>
        <w:pStyle w:val="2"/>
        <w:ind w:leftChars="0" w:firstLine="392" w:firstLineChars="200"/>
        <w:rPr>
          <w:rFonts w:ascii="Times New Roman" w:hAnsi="Times New Roman" w:eastAsia="宋体"/>
          <w:color w:val="FF0000"/>
          <w:sz w:val="21"/>
          <w:szCs w:val="21"/>
        </w:rPr>
      </w:pPr>
      <w:r>
        <w:rPr>
          <w:rFonts w:ascii="Times New Roman" w:hAnsi="Times New Roman" w:eastAsia="宋体"/>
          <w:color w:val="FF0000"/>
          <w:sz w:val="21"/>
          <w:szCs w:val="21"/>
        </w:rPr>
        <w:t>3.</w:t>
      </w:r>
      <w:r>
        <w:rPr>
          <w:rFonts w:hint="eastAsia" w:ascii="Times New Roman" w:hAnsi="Times New Roman" w:eastAsia="宋体"/>
          <w:color w:val="FF0000"/>
          <w:sz w:val="21"/>
          <w:szCs w:val="21"/>
        </w:rPr>
        <w:t>宜采用黑白图，删除图中不必要的外框、网格线等。</w:t>
      </w:r>
    </w:p>
    <w:p w14:paraId="5A941134">
      <w:pPr>
        <w:pStyle w:val="2"/>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4</w:t>
      </w:r>
      <w:r>
        <w:rPr>
          <w:rFonts w:ascii="Times New Roman" w:hAnsi="Times New Roman" w:eastAsia="宋体"/>
          <w:color w:val="FF0000"/>
          <w:sz w:val="21"/>
          <w:szCs w:val="21"/>
        </w:rPr>
        <w:t>.</w:t>
      </w:r>
      <w:r>
        <w:rPr>
          <w:rFonts w:hint="eastAsia" w:ascii="Times New Roman" w:hAnsi="Times New Roman" w:eastAsia="宋体"/>
          <w:color w:val="FF0000"/>
          <w:sz w:val="21"/>
          <w:szCs w:val="21"/>
        </w:rPr>
        <w:t>刻度线内置，刻度数值应写完整，例如：应为“0</w:t>
      </w:r>
      <w:r>
        <w:rPr>
          <w:rFonts w:ascii="Times New Roman" w:hAnsi="Times New Roman" w:eastAsia="宋体"/>
          <w:color w:val="FF0000"/>
          <w:sz w:val="21"/>
          <w:szCs w:val="21"/>
        </w:rPr>
        <w:t>.01</w:t>
      </w:r>
      <w:r>
        <w:rPr>
          <w:rFonts w:hint="eastAsia" w:ascii="Times New Roman" w:hAnsi="Times New Roman" w:eastAsia="宋体"/>
          <w:color w:val="FF0000"/>
          <w:sz w:val="21"/>
          <w:szCs w:val="21"/>
        </w:rPr>
        <w:t>”而非“.</w:t>
      </w:r>
      <w:r>
        <w:rPr>
          <w:rFonts w:ascii="Times New Roman" w:hAnsi="Times New Roman" w:eastAsia="宋体"/>
          <w:color w:val="FF0000"/>
          <w:sz w:val="21"/>
          <w:szCs w:val="21"/>
        </w:rPr>
        <w:t>01</w:t>
      </w:r>
      <w:r>
        <w:rPr>
          <w:rFonts w:hint="eastAsia" w:ascii="Times New Roman" w:hAnsi="Times New Roman" w:eastAsia="宋体"/>
          <w:color w:val="FF0000"/>
          <w:sz w:val="21"/>
          <w:szCs w:val="21"/>
        </w:rPr>
        <w:t>”。</w:t>
      </w:r>
    </w:p>
    <w:p w14:paraId="6B97DFD0">
      <w:pPr>
        <w:pStyle w:val="2"/>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5</w:t>
      </w:r>
      <w:r>
        <w:rPr>
          <w:rFonts w:ascii="Times New Roman" w:hAnsi="Times New Roman" w:eastAsia="宋体"/>
          <w:color w:val="FF0000"/>
          <w:sz w:val="21"/>
          <w:szCs w:val="21"/>
        </w:rPr>
        <w:t>.</w:t>
      </w:r>
      <w:r>
        <w:rPr>
          <w:rFonts w:hint="eastAsia" w:ascii="Times New Roman" w:hAnsi="Times New Roman" w:eastAsia="宋体"/>
          <w:color w:val="FF0000"/>
          <w:sz w:val="21"/>
          <w:szCs w:val="21"/>
        </w:rPr>
        <w:t>插图应保持足够清晰度，最好在word中可编辑修改。</w:t>
      </w:r>
    </w:p>
    <w:p w14:paraId="38DEDCC2">
      <w:pPr>
        <w:pStyle w:val="2"/>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6</w:t>
      </w:r>
      <w:r>
        <w:rPr>
          <w:rFonts w:ascii="Times New Roman" w:hAnsi="Times New Roman" w:eastAsia="宋体"/>
          <w:color w:val="FF0000"/>
          <w:sz w:val="21"/>
          <w:szCs w:val="21"/>
        </w:rPr>
        <w:t>.</w:t>
      </w:r>
      <w:r>
        <w:rPr>
          <w:rFonts w:hint="eastAsia" w:ascii="Times New Roman" w:hAnsi="Times New Roman" w:eastAsia="宋体"/>
          <w:color w:val="FF0000"/>
          <w:sz w:val="21"/>
          <w:szCs w:val="21"/>
        </w:rPr>
        <w:t>图中线条磅值为0</w:t>
      </w:r>
      <w:r>
        <w:rPr>
          <w:rFonts w:ascii="Times New Roman" w:hAnsi="Times New Roman" w:eastAsia="宋体"/>
          <w:color w:val="FF0000"/>
          <w:sz w:val="21"/>
          <w:szCs w:val="21"/>
        </w:rPr>
        <w:t>.75</w:t>
      </w:r>
      <w:r>
        <w:rPr>
          <w:rFonts w:hint="eastAsia" w:ascii="Times New Roman" w:hAnsi="Times New Roman" w:eastAsia="宋体"/>
          <w:color w:val="FF0000"/>
          <w:sz w:val="21"/>
          <w:szCs w:val="21"/>
        </w:rPr>
        <w:t>磅，箭头都用实心箭头。</w:t>
      </w:r>
    </w:p>
    <w:p w14:paraId="00919522">
      <w:pPr>
        <w:spacing w:line="240" w:lineRule="atLeast"/>
        <w:ind w:firstLine="392" w:firstLineChars="200"/>
        <w:rPr>
          <w:rFonts w:ascii="宋体" w:hAnsi="宋体" w:eastAsia="宋体" w:cs="Times New Roman"/>
          <w:color w:val="000000"/>
          <w:szCs w:val="21"/>
        </w:rPr>
      </w:pPr>
    </w:p>
    <w:p w14:paraId="65DF2225">
      <w:pPr>
        <w:spacing w:line="240" w:lineRule="atLeast"/>
        <w:ind w:firstLine="332" w:firstLineChars="200"/>
        <w:rPr>
          <w:rFonts w:ascii="Times New Roman" w:hAnsi="Times New Roman" w:eastAsia="黑体" w:cs="Times New Roman"/>
          <w:bCs/>
          <w:color w:val="000000"/>
          <w:sz w:val="18"/>
          <w:szCs w:val="20"/>
        </w:rPr>
      </w:pPr>
      <w:r>
        <w:rPr>
          <w:rFonts w:hint="eastAsia" w:ascii="Times New Roman" w:hAnsi="Times New Roman" w:eastAsia="黑体" w:cs="Times New Roman"/>
          <w:bCs/>
          <w:color w:val="000000"/>
          <w:sz w:val="18"/>
          <w:szCs w:val="20"/>
        </w:rPr>
        <w:t>参考文献</w:t>
      </w:r>
    </w:p>
    <w:p w14:paraId="158B5D1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332" w:firstLineChars="200"/>
        <w:jc w:val="both"/>
        <w:textAlignment w:val="auto"/>
        <w:outlineLvl w:val="9"/>
        <w:rPr>
          <w:rFonts w:hint="eastAsia" w:ascii="Times New Roman" w:hAnsi="Times New Roman" w:eastAsia="宋体" w:cs="宋体"/>
          <w:b w:val="0"/>
          <w:bCs w:val="0"/>
          <w:color w:val="000000"/>
          <w:sz w:val="18"/>
          <w:szCs w:val="18"/>
          <w:highlight w:val="none"/>
          <w:lang w:val="en-US" w:eastAsia="zh-CN"/>
        </w:rPr>
      </w:pPr>
      <w:r>
        <w:rPr>
          <w:rFonts w:hint="eastAsia" w:ascii="Times New Roman" w:hAnsi="Times New Roman" w:cs="宋体"/>
          <w:b w:val="0"/>
          <w:bCs w:val="0"/>
          <w:color w:val="000000"/>
          <w:sz w:val="18"/>
          <w:szCs w:val="18"/>
          <w:highlight w:val="none"/>
          <w:lang w:val="en-US" w:eastAsia="zh-CN"/>
        </w:rPr>
        <w:t>1.</w:t>
      </w:r>
      <w:r>
        <w:rPr>
          <w:rFonts w:hint="eastAsia" w:ascii="Times New Roman" w:hAnsi="Times New Roman" w:eastAsia="宋体" w:cs="宋体"/>
          <w:b w:val="0"/>
          <w:bCs w:val="0"/>
          <w:color w:val="000000"/>
          <w:sz w:val="18"/>
          <w:szCs w:val="18"/>
          <w:highlight w:val="none"/>
          <w:lang w:val="en-US" w:eastAsia="zh-CN"/>
        </w:rPr>
        <w:t>徐亚东、张应良，2023：《市场交易中的产权界定</w:t>
      </w:r>
      <w:r>
        <w:rPr>
          <w:rFonts w:hint="eastAsia" w:ascii="Times New Roman" w:hAnsi="Times New Roman" w:cs="宋体"/>
          <w:b w:val="0"/>
          <w:bCs w:val="0"/>
          <w:color w:val="000000"/>
          <w:sz w:val="18"/>
          <w:szCs w:val="18"/>
          <w:highlight w:val="none"/>
          <w:lang w:val="en-US" w:eastAsia="zh-CN"/>
        </w:rPr>
        <w:t>：</w:t>
      </w:r>
      <w:r>
        <w:rPr>
          <w:rFonts w:hint="eastAsia" w:ascii="Times New Roman" w:hAnsi="Times New Roman" w:eastAsia="宋体" w:cs="宋体"/>
          <w:b w:val="0"/>
          <w:bCs w:val="0"/>
          <w:color w:val="000000"/>
          <w:sz w:val="18"/>
          <w:szCs w:val="18"/>
          <w:highlight w:val="none"/>
          <w:lang w:val="en-US" w:eastAsia="zh-CN"/>
        </w:rPr>
        <w:t>基于农地经营权流转合同的分析》，《中国农村观察》第3期，第44-60页。</w:t>
      </w:r>
    </w:p>
    <w:p w14:paraId="4803FD0C">
      <w:pPr>
        <w:spacing w:line="240" w:lineRule="atLeast"/>
        <w:ind w:firstLine="332" w:firstLineChars="200"/>
        <w:rPr>
          <w:rFonts w:hint="eastAsia" w:ascii="Times New Roman" w:hAnsi="Times New Roman" w:eastAsia="宋体" w:cs="Times New Roman"/>
          <w:color w:val="000000"/>
          <w:sz w:val="18"/>
          <w:szCs w:val="22"/>
        </w:rPr>
      </w:pPr>
      <w:r>
        <w:rPr>
          <w:rFonts w:hint="eastAsia" w:ascii="Times New Roman" w:hAnsi="Times New Roman" w:eastAsia="宋体" w:cs="Times New Roman"/>
          <w:color w:val="000000"/>
          <w:sz w:val="18"/>
          <w:szCs w:val="22"/>
          <w:lang w:val="en-US" w:eastAsia="zh-CN"/>
        </w:rPr>
        <w:t>2</w:t>
      </w:r>
      <w:r>
        <w:rPr>
          <w:rFonts w:ascii="Times New Roman" w:hAnsi="Times New Roman" w:eastAsia="宋体" w:cs="Times New Roman"/>
          <w:color w:val="000000"/>
          <w:sz w:val="18"/>
          <w:szCs w:val="22"/>
        </w:rPr>
        <w:t>.</w:t>
      </w:r>
      <w:r>
        <w:rPr>
          <w:rFonts w:hint="eastAsia" w:ascii="Times New Roman" w:hAnsi="Times New Roman" w:eastAsia="宋体" w:cs="Times New Roman"/>
          <w:color w:val="000000"/>
          <w:sz w:val="18"/>
          <w:szCs w:val="22"/>
        </w:rPr>
        <w:t>刘彬彬、</w:t>
      </w:r>
      <w:r>
        <w:rPr>
          <w:rFonts w:ascii="Times New Roman" w:hAnsi="Times New Roman" w:eastAsia="宋体" w:cs="Times New Roman"/>
          <w:color w:val="000000"/>
          <w:sz w:val="18"/>
          <w:szCs w:val="22"/>
        </w:rPr>
        <w:t>林滨</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冯博</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史清华</w:t>
      </w:r>
      <w:r>
        <w:rPr>
          <w:rFonts w:hint="eastAsia" w:ascii="Times New Roman" w:hAnsi="Times New Roman" w:eastAsia="宋体" w:cs="Times New Roman"/>
          <w:color w:val="000000"/>
          <w:sz w:val="18"/>
          <w:szCs w:val="22"/>
        </w:rPr>
        <w:t>，2</w:t>
      </w:r>
      <w:r>
        <w:rPr>
          <w:rFonts w:ascii="Times New Roman" w:hAnsi="Times New Roman" w:eastAsia="宋体" w:cs="Times New Roman"/>
          <w:color w:val="000000"/>
          <w:sz w:val="18"/>
          <w:szCs w:val="22"/>
        </w:rPr>
        <w:t>017</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劳动力流动与农村社会治安：模型与实证</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管理世界</w:t>
      </w:r>
      <w:r>
        <w:rPr>
          <w:rFonts w:hint="eastAsia" w:ascii="Times New Roman" w:hAnsi="Times New Roman" w:eastAsia="宋体" w:cs="Times New Roman"/>
          <w:color w:val="000000"/>
          <w:sz w:val="18"/>
          <w:szCs w:val="22"/>
        </w:rPr>
        <w:t>》第9期，第7</w:t>
      </w:r>
      <w:r>
        <w:rPr>
          <w:rFonts w:ascii="Times New Roman" w:hAnsi="Times New Roman" w:eastAsia="宋体" w:cs="Times New Roman"/>
          <w:color w:val="000000"/>
          <w:sz w:val="18"/>
          <w:szCs w:val="22"/>
        </w:rPr>
        <w:t>3</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84</w:t>
      </w:r>
      <w:r>
        <w:rPr>
          <w:rFonts w:hint="eastAsia" w:ascii="Times New Roman" w:hAnsi="Times New Roman" w:eastAsia="宋体" w:cs="Times New Roman"/>
          <w:color w:val="000000"/>
          <w:sz w:val="18"/>
          <w:szCs w:val="22"/>
        </w:rPr>
        <w:t>页。</w:t>
      </w:r>
    </w:p>
    <w:p w14:paraId="5BBB2EC6">
      <w:pPr>
        <w:spacing w:line="240" w:lineRule="atLeast"/>
        <w:ind w:firstLine="332" w:firstLineChars="200"/>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3.</w:t>
      </w:r>
      <w:r>
        <w:rPr>
          <w:rFonts w:hint="eastAsia" w:ascii="Times New Roman" w:hAnsi="Times New Roman" w:eastAsia="宋体" w:cs="Times New Roman"/>
          <w:color w:val="000000"/>
          <w:sz w:val="18"/>
          <w:szCs w:val="22"/>
        </w:rPr>
        <w:t>中国社会科学院工业经济研究所课题组</w:t>
      </w:r>
      <w:r>
        <w:rPr>
          <w:rFonts w:hint="eastAsia" w:ascii="Times New Roman" w:hAnsi="Times New Roman" w:eastAsia="宋体" w:cs="Times New Roman"/>
          <w:color w:val="000000"/>
          <w:sz w:val="18"/>
          <w:szCs w:val="22"/>
          <w:lang w:eastAsia="zh"/>
        </w:rPr>
        <w:t>，</w:t>
      </w:r>
      <w:r>
        <w:rPr>
          <w:rFonts w:ascii="Times New Roman" w:hAnsi="Times New Roman" w:eastAsia="宋体" w:cs="Times New Roman"/>
          <w:color w:val="000000"/>
          <w:sz w:val="18"/>
          <w:szCs w:val="22"/>
          <w:lang w:eastAsia="zh"/>
        </w:rPr>
        <w:t>2021</w:t>
      </w:r>
      <w:r>
        <w:rPr>
          <w:rFonts w:hint="eastAsia" w:ascii="Times New Roman" w:hAnsi="Times New Roman" w:eastAsia="宋体" w:cs="Times New Roman"/>
          <w:color w:val="000000"/>
          <w:sz w:val="18"/>
          <w:szCs w:val="22"/>
        </w:rPr>
        <w:t>：</w:t>
      </w:r>
      <w:r>
        <w:rPr>
          <w:rFonts w:hint="eastAsia" w:ascii="Times New Roman" w:hAnsi="Times New Roman" w:eastAsia="宋体" w:cs="Times New Roman"/>
          <w:color w:val="000000"/>
          <w:sz w:val="18"/>
          <w:szCs w:val="22"/>
          <w:lang w:eastAsia="zh"/>
        </w:rPr>
        <w:t>《</w:t>
      </w:r>
      <w:bookmarkStart w:id="5" w:name="OLE_LINK17"/>
      <w:bookmarkStart w:id="6" w:name="OLE_LINK18"/>
      <w:r>
        <w:rPr>
          <w:rFonts w:hint="eastAsia" w:ascii="Times New Roman" w:hAnsi="Times New Roman" w:eastAsia="宋体" w:cs="Times New Roman"/>
          <w:color w:val="000000"/>
          <w:sz w:val="18"/>
          <w:szCs w:val="22"/>
        </w:rPr>
        <w:t>提升产业链供应链现代化水平路径研究</w:t>
      </w:r>
      <w:bookmarkEnd w:id="5"/>
      <w:bookmarkEnd w:id="6"/>
      <w:r>
        <w:rPr>
          <w:rFonts w:hint="eastAsia" w:ascii="Times New Roman" w:hAnsi="Times New Roman" w:eastAsia="宋体" w:cs="Times New Roman"/>
          <w:color w:val="000000"/>
          <w:sz w:val="18"/>
          <w:szCs w:val="22"/>
          <w:lang w:eastAsia="zh"/>
        </w:rPr>
        <w:t>》，《</w:t>
      </w:r>
      <w:r>
        <w:rPr>
          <w:rFonts w:hint="eastAsia" w:ascii="Times New Roman" w:hAnsi="Times New Roman" w:eastAsia="宋体" w:cs="Times New Roman"/>
          <w:color w:val="000000"/>
          <w:sz w:val="18"/>
          <w:szCs w:val="22"/>
        </w:rPr>
        <w:t>中国工业经济</w:t>
      </w:r>
      <w:r>
        <w:rPr>
          <w:rFonts w:hint="eastAsia" w:ascii="Times New Roman" w:hAnsi="Times New Roman" w:eastAsia="宋体" w:cs="Times New Roman"/>
          <w:color w:val="000000"/>
          <w:sz w:val="18"/>
          <w:szCs w:val="22"/>
          <w:lang w:eastAsia="zh"/>
        </w:rPr>
        <w:t>》第</w:t>
      </w:r>
      <w:r>
        <w:rPr>
          <w:rFonts w:ascii="Times New Roman" w:hAnsi="Times New Roman" w:eastAsia="宋体" w:cs="Times New Roman"/>
          <w:color w:val="000000"/>
          <w:sz w:val="18"/>
          <w:szCs w:val="22"/>
        </w:rPr>
        <w:t>2</w:t>
      </w:r>
      <w:r>
        <w:rPr>
          <w:rFonts w:hint="eastAsia" w:ascii="Times New Roman" w:hAnsi="Times New Roman" w:eastAsia="宋体" w:cs="Times New Roman"/>
          <w:color w:val="000000"/>
          <w:sz w:val="18"/>
          <w:szCs w:val="22"/>
          <w:lang w:eastAsia="zh"/>
        </w:rPr>
        <w:t>期，第</w:t>
      </w:r>
      <w:r>
        <w:rPr>
          <w:rFonts w:ascii="Times New Roman" w:hAnsi="Times New Roman" w:eastAsia="宋体" w:cs="Times New Roman"/>
          <w:color w:val="000000"/>
          <w:sz w:val="18"/>
          <w:szCs w:val="22"/>
        </w:rPr>
        <w:t>80-97</w:t>
      </w:r>
      <w:r>
        <w:rPr>
          <w:rFonts w:hint="eastAsia" w:ascii="Times New Roman" w:hAnsi="Times New Roman" w:eastAsia="宋体" w:cs="Times New Roman"/>
          <w:color w:val="000000"/>
          <w:sz w:val="18"/>
          <w:szCs w:val="22"/>
          <w:lang w:eastAsia="zh"/>
        </w:rPr>
        <w:t>页。</w:t>
      </w:r>
    </w:p>
    <w:p w14:paraId="6C6A7B43">
      <w:pPr>
        <w:spacing w:line="240" w:lineRule="atLeast"/>
        <w:ind w:firstLine="332" w:firstLineChars="200"/>
        <w:rPr>
          <w:rFonts w:hint="default" w:ascii="Times New Roman" w:hAnsi="Times New Roman" w:cs="Times New Roman"/>
          <w:sz w:val="18"/>
        </w:rPr>
      </w:pPr>
      <w:r>
        <w:rPr>
          <w:rFonts w:hint="eastAsia" w:ascii="Times New Roman" w:hAnsi="Times New Roman" w:cs="Times New Roman"/>
          <w:sz w:val="18"/>
          <w:lang w:val="en-US" w:eastAsia="zh-CN"/>
        </w:rPr>
        <w:t>4</w:t>
      </w:r>
      <w:r>
        <w:rPr>
          <w:rFonts w:hint="default" w:ascii="Times New Roman" w:hAnsi="Times New Roman" w:cs="Times New Roman"/>
          <w:sz w:val="18"/>
        </w:rPr>
        <w:t>.波兰尼，2007：《大转型：我们时代的政治与经济起源》，冯刚、刘阳译，杭州：浙江人民出版社，第232页。</w:t>
      </w:r>
    </w:p>
    <w:p w14:paraId="5B299077">
      <w:pPr>
        <w:spacing w:line="240" w:lineRule="atLeast"/>
        <w:ind w:firstLine="332" w:firstLineChars="200"/>
        <w:rPr>
          <w:rFonts w:hint="eastAsia" w:ascii="Times New Roman" w:hAnsi="Times New Roman" w:cs="Times New Roman"/>
          <w:sz w:val="18"/>
        </w:rPr>
      </w:pPr>
      <w:r>
        <w:rPr>
          <w:rFonts w:hint="eastAsia" w:ascii="Times New Roman" w:hAnsi="Times New Roman" w:cs="Times New Roman"/>
          <w:sz w:val="18"/>
          <w:lang w:val="en-US" w:eastAsia="zh-CN"/>
        </w:rPr>
        <w:t>5</w:t>
      </w:r>
      <w:r>
        <w:rPr>
          <w:rFonts w:hint="eastAsia" w:ascii="Times New Roman" w:hAnsi="Times New Roman" w:cs="Times New Roman"/>
          <w:sz w:val="18"/>
        </w:rPr>
        <w:t>.费孝通，</w:t>
      </w:r>
      <w:r>
        <w:rPr>
          <w:rFonts w:hint="default" w:ascii="Times New Roman" w:hAnsi="Times New Roman" w:cs="Times New Roman"/>
          <w:sz w:val="18"/>
        </w:rPr>
        <w:t>2012</w:t>
      </w:r>
      <w:r>
        <w:rPr>
          <w:rFonts w:hint="eastAsia" w:ascii="Times New Roman" w:hAnsi="Times New Roman" w:cs="Times New Roman"/>
          <w:sz w:val="18"/>
        </w:rPr>
        <w:t>：《乡土中国》，北京：北京大学出版社，第76-79页。</w:t>
      </w:r>
    </w:p>
    <w:p w14:paraId="31B95D10">
      <w:pPr>
        <w:pStyle w:val="2"/>
        <w:shd w:val="clear"/>
        <w:spacing w:line="240" w:lineRule="atLeast"/>
        <w:ind w:leftChars="0" w:firstLine="332"/>
        <w:rPr>
          <w:rFonts w:ascii="Times New Roman" w:hAnsi="Times New Roman" w:eastAsia="宋体" w:cs="Times New Roman"/>
          <w:color w:val="1D41D5"/>
          <w:sz w:val="18"/>
          <w:szCs w:val="18"/>
          <w:lang w:eastAsia="ja-JP"/>
        </w:rPr>
      </w:pPr>
      <w:r>
        <w:rPr>
          <w:rFonts w:hint="eastAsia" w:ascii="Times New Roman" w:hAnsi="Times New Roman" w:eastAsia="宋体" w:cs="Times New Roman"/>
          <w:color w:val="1D41D5"/>
          <w:sz w:val="18"/>
          <w:szCs w:val="18"/>
          <w:lang w:val="en-US" w:eastAsia="zh-CN"/>
        </w:rPr>
        <w:t>6.</w:t>
      </w:r>
      <w:r>
        <w:rPr>
          <w:rFonts w:hint="eastAsia" w:ascii="Times New Roman" w:hAnsi="Times New Roman" w:eastAsia="宋体" w:cs="Times New Roman"/>
          <w:color w:val="1D41D5"/>
          <w:sz w:val="18"/>
          <w:szCs w:val="18"/>
          <w:lang w:eastAsia="ja-JP"/>
        </w:rPr>
        <w:t>井野隆一，1996：</w:t>
      </w:r>
      <w:r>
        <w:rPr>
          <w:rFonts w:hint="eastAsia" w:ascii="宋体" w:hAnsi="宋体" w:eastAsia="宋体" w:cs="宋体"/>
          <w:color w:val="1D41D5"/>
          <w:sz w:val="18"/>
          <w:szCs w:val="18"/>
          <w:lang w:eastAsia="ja-JP"/>
        </w:rPr>
        <w:t>『戦後日本農業史』</w:t>
      </w:r>
      <w:r>
        <w:rPr>
          <w:rFonts w:hint="eastAsia" w:ascii="Times New Roman" w:hAnsi="Times New Roman" w:eastAsia="宋体" w:cs="Times New Roman"/>
          <w:color w:val="1D41D5"/>
          <w:sz w:val="18"/>
          <w:szCs w:val="18"/>
          <w:lang w:eastAsia="ja-JP"/>
        </w:rPr>
        <w:t>，東京：新日本出版社，第73頁。</w:t>
      </w:r>
    </w:p>
    <w:p w14:paraId="22263BA6">
      <w:pPr>
        <w:pStyle w:val="2"/>
        <w:shd w:val="clear"/>
        <w:spacing w:line="240" w:lineRule="atLeast"/>
        <w:ind w:leftChars="0" w:firstLine="332"/>
        <w:rPr>
          <w:rFonts w:ascii="Times New Roman" w:hAnsi="Times New Roman" w:eastAsia="宋体" w:cs="Times New Roman"/>
          <w:color w:val="1D41D5"/>
          <w:sz w:val="18"/>
          <w:szCs w:val="18"/>
          <w:lang w:eastAsia="ja-JP"/>
        </w:rPr>
      </w:pPr>
      <w:r>
        <w:rPr>
          <w:rFonts w:hint="eastAsia" w:ascii="Times New Roman" w:hAnsi="Times New Roman" w:eastAsia="宋体" w:cs="Times New Roman"/>
          <w:color w:val="1D41D5"/>
          <w:sz w:val="18"/>
          <w:szCs w:val="18"/>
          <w:lang w:val="en-US" w:eastAsia="zh-CN"/>
        </w:rPr>
        <w:t>7</w:t>
      </w:r>
      <w:r>
        <w:rPr>
          <w:rFonts w:hint="eastAsia" w:ascii="Times New Roman" w:hAnsi="Times New Roman" w:eastAsia="宋体" w:cs="Times New Roman"/>
          <w:color w:val="1D41D5"/>
          <w:sz w:val="18"/>
          <w:szCs w:val="18"/>
          <w:lang w:eastAsia="ja-JP"/>
        </w:rPr>
        <w:t>.</w:t>
      </w:r>
      <w:r>
        <w:rPr>
          <w:rFonts w:hint="eastAsia" w:ascii="Times New Roman" w:hAnsi="Times New Roman" w:eastAsia="宋体" w:cs="Times New Roman"/>
          <w:color w:val="1D41D5"/>
          <w:kern w:val="0"/>
          <w:sz w:val="18"/>
          <w:szCs w:val="18"/>
          <w:lang w:eastAsia="ja-JP"/>
        </w:rPr>
        <w:t>内山昭，2019：</w:t>
      </w:r>
      <w:r>
        <w:rPr>
          <w:rFonts w:hint="eastAsia" w:ascii="宋体" w:hAnsi="宋体" w:eastAsia="宋体" w:cs="宋体"/>
          <w:color w:val="1D41D5"/>
          <w:kern w:val="0"/>
          <w:sz w:val="18"/>
          <w:szCs w:val="18"/>
          <w:lang w:eastAsia="ja-JP"/>
        </w:rPr>
        <w:t>「地域経済不均衡等発展論と不均衡是正の課題」</w:t>
      </w:r>
      <w:r>
        <w:rPr>
          <w:rFonts w:hint="eastAsia" w:ascii="Times New Roman" w:hAnsi="Times New Roman" w:eastAsia="宋体" w:cs="Times New Roman"/>
          <w:color w:val="1D41D5"/>
          <w:kern w:val="0"/>
          <w:sz w:val="18"/>
          <w:szCs w:val="18"/>
          <w:lang w:eastAsia="ja-JP"/>
        </w:rPr>
        <w:t>，</w:t>
      </w:r>
      <w:r>
        <w:rPr>
          <w:rFonts w:hint="eastAsia" w:ascii="宋体" w:hAnsi="宋体" w:eastAsia="宋体" w:cs="宋体"/>
          <w:color w:val="1D41D5"/>
          <w:kern w:val="0"/>
          <w:sz w:val="18"/>
          <w:szCs w:val="18"/>
          <w:lang w:eastAsia="ja-JP"/>
        </w:rPr>
        <w:t>『立命館経済学』</w:t>
      </w:r>
      <w:r>
        <w:rPr>
          <w:rFonts w:hint="eastAsia" w:ascii="Times New Roman" w:hAnsi="Times New Roman" w:eastAsia="宋体" w:cs="Times New Roman"/>
          <w:color w:val="1D41D5"/>
          <w:kern w:val="0"/>
          <w:sz w:val="18"/>
          <w:szCs w:val="18"/>
          <w:lang w:eastAsia="ja-JP"/>
        </w:rPr>
        <w:t>第3期，第1</w:t>
      </w:r>
      <w:r>
        <w:rPr>
          <w:rFonts w:ascii="Times New Roman" w:hAnsi="Times New Roman" w:eastAsia="宋体" w:cs="Times New Roman"/>
          <w:color w:val="1D41D5"/>
          <w:kern w:val="0"/>
          <w:sz w:val="18"/>
          <w:szCs w:val="18"/>
          <w:lang w:eastAsia="ja-JP"/>
        </w:rPr>
        <w:t>9-42</w:t>
      </w:r>
      <w:r>
        <w:rPr>
          <w:rFonts w:hint="eastAsia" w:ascii="宋体" w:hAnsi="宋体" w:eastAsia="宋体" w:cs="宋体"/>
          <w:color w:val="1D41D5"/>
          <w:kern w:val="0"/>
          <w:sz w:val="18"/>
          <w:szCs w:val="18"/>
          <w:lang w:eastAsia="ja-JP"/>
        </w:rPr>
        <w:t>頁</w:t>
      </w:r>
      <w:r>
        <w:rPr>
          <w:rFonts w:hint="eastAsia" w:ascii="Times New Roman" w:hAnsi="Times New Roman" w:eastAsia="宋体" w:cs="Times New Roman"/>
          <w:color w:val="1D41D5"/>
          <w:kern w:val="0"/>
          <w:sz w:val="18"/>
          <w:szCs w:val="18"/>
          <w:lang w:eastAsia="ja-JP"/>
        </w:rPr>
        <w:t>。</w:t>
      </w:r>
    </w:p>
    <w:p w14:paraId="6014C5BA">
      <w:pPr>
        <w:widowControl w:val="0"/>
        <w:shd w:val="clear"/>
        <w:autoSpaceDE w:val="0"/>
        <w:autoSpaceDN w:val="0"/>
        <w:spacing w:line="240" w:lineRule="atLeast"/>
        <w:ind w:firstLine="332"/>
        <w:rPr>
          <w:rFonts w:ascii="Times New Roman" w:hAnsi="Times New Roman" w:eastAsia="宋体" w:cs="Times New Roman"/>
          <w:color w:val="1D41D5"/>
          <w:kern w:val="0"/>
          <w:sz w:val="18"/>
          <w:szCs w:val="18"/>
          <w:lang w:eastAsia="ja-JP"/>
        </w:rPr>
      </w:pPr>
      <w:r>
        <w:rPr>
          <w:rFonts w:hint="eastAsia" w:ascii="Times New Roman" w:hAnsi="Times New Roman" w:eastAsia="宋体" w:cs="Times New Roman"/>
          <w:color w:val="1D41D5"/>
          <w:kern w:val="0"/>
          <w:sz w:val="18"/>
          <w:szCs w:val="18"/>
          <w:lang w:val="en-US" w:eastAsia="zh-CN"/>
        </w:rPr>
        <w:t>8</w:t>
      </w:r>
      <w:r>
        <w:rPr>
          <w:rFonts w:hint="eastAsia" w:ascii="Times New Roman" w:hAnsi="Times New Roman" w:eastAsia="宋体" w:cs="Times New Roman"/>
          <w:color w:val="1D41D5"/>
          <w:kern w:val="0"/>
          <w:sz w:val="18"/>
          <w:szCs w:val="18"/>
          <w:lang w:eastAsia="ja-JP"/>
        </w:rPr>
        <w:t>.江崎雄治、荒井良雄、川口太郎，</w:t>
      </w:r>
      <w:r>
        <w:rPr>
          <w:rFonts w:ascii="Times New Roman" w:hAnsi="Times New Roman" w:eastAsia="宋体" w:cs="Times New Roman"/>
          <w:color w:val="1D41D5"/>
          <w:kern w:val="0"/>
          <w:sz w:val="18"/>
          <w:szCs w:val="18"/>
          <w:lang w:eastAsia="ja-JP"/>
        </w:rPr>
        <w:t>1999：</w:t>
      </w:r>
      <w:r>
        <w:rPr>
          <w:rFonts w:hint="eastAsia" w:ascii="宋体" w:hAnsi="宋体" w:eastAsia="宋体" w:cs="宋体"/>
          <w:color w:val="1D41D5"/>
          <w:kern w:val="0"/>
          <w:sz w:val="18"/>
          <w:szCs w:val="18"/>
          <w:lang w:eastAsia="ja-JP"/>
        </w:rPr>
        <w:t>「人口還流現象の実態とその要因—長野県出身男性を例に—」</w:t>
      </w:r>
      <w:r>
        <w:rPr>
          <w:rFonts w:ascii="MS Mincho" w:hAnsi="MS Mincho" w:eastAsia="MS Mincho" w:cs="Times New Roman"/>
          <w:color w:val="1D41D5"/>
          <w:kern w:val="0"/>
          <w:sz w:val="18"/>
          <w:szCs w:val="18"/>
          <w:lang w:eastAsia="ja-JP"/>
        </w:rPr>
        <w:t>，</w:t>
      </w:r>
      <w:r>
        <w:rPr>
          <w:rFonts w:hint="eastAsia" w:ascii="宋体" w:hAnsi="宋体" w:eastAsia="宋体" w:cs="宋体"/>
          <w:color w:val="1D41D5"/>
          <w:kern w:val="0"/>
          <w:sz w:val="18"/>
          <w:szCs w:val="18"/>
          <w:lang w:eastAsia="ja-JP"/>
        </w:rPr>
        <w:t>『地理学評論』</w:t>
      </w:r>
      <w:r>
        <w:rPr>
          <w:rFonts w:hint="eastAsia" w:ascii="Times New Roman" w:hAnsi="Times New Roman" w:eastAsia="宋体" w:cs="Times New Roman"/>
          <w:color w:val="1D41D5"/>
          <w:kern w:val="0"/>
          <w:sz w:val="18"/>
          <w:szCs w:val="18"/>
          <w:lang w:eastAsia="ja-JP"/>
        </w:rPr>
        <w:t>第</w:t>
      </w:r>
      <w:r>
        <w:rPr>
          <w:rFonts w:ascii="Times New Roman" w:hAnsi="Times New Roman" w:eastAsia="宋体" w:cs="Times New Roman"/>
          <w:color w:val="1D41D5"/>
          <w:kern w:val="0"/>
          <w:sz w:val="18"/>
          <w:szCs w:val="18"/>
          <w:lang w:eastAsia="ja-JP"/>
        </w:rPr>
        <w:t>72巻</w:t>
      </w:r>
      <w:r>
        <w:rPr>
          <w:rFonts w:hint="eastAsia" w:ascii="Times New Roman" w:hAnsi="Times New Roman" w:eastAsia="宋体" w:cs="Times New Roman"/>
          <w:color w:val="1D41D5"/>
          <w:kern w:val="0"/>
          <w:sz w:val="18"/>
          <w:szCs w:val="18"/>
          <w:lang w:eastAsia="ja-JP"/>
        </w:rPr>
        <w:t>第</w:t>
      </w:r>
      <w:r>
        <w:rPr>
          <w:rFonts w:ascii="Times New Roman" w:hAnsi="Times New Roman" w:eastAsia="宋体" w:cs="Times New Roman"/>
          <w:color w:val="1D41D5"/>
          <w:kern w:val="0"/>
          <w:sz w:val="18"/>
          <w:szCs w:val="18"/>
          <w:lang w:eastAsia="ja-JP"/>
        </w:rPr>
        <w:t>10</w:t>
      </w:r>
      <w:r>
        <w:rPr>
          <w:rFonts w:hint="eastAsia" w:ascii="Times New Roman" w:hAnsi="Times New Roman" w:eastAsia="宋体" w:cs="Times New Roman"/>
          <w:color w:val="1D41D5"/>
          <w:kern w:val="0"/>
          <w:sz w:val="18"/>
          <w:szCs w:val="18"/>
          <w:lang w:eastAsia="ja-JP"/>
        </w:rPr>
        <w:t>号</w:t>
      </w:r>
      <w:r>
        <w:rPr>
          <w:rFonts w:hint="default" w:ascii="Times New Roman" w:hAnsi="Times New Roman" w:eastAsia="宋体" w:cs="Times New Roman"/>
          <w:color w:val="1D41D5"/>
          <w:kern w:val="0"/>
          <w:sz w:val="18"/>
          <w:szCs w:val="18"/>
          <w:lang w:eastAsia="ja-JP"/>
        </w:rPr>
        <w:t>，第645-667頁</w:t>
      </w:r>
      <w:r>
        <w:rPr>
          <w:rFonts w:hint="eastAsia" w:ascii="Times New Roman" w:hAnsi="Times New Roman" w:eastAsia="宋体" w:cs="Times New Roman"/>
          <w:color w:val="1D41D5"/>
          <w:kern w:val="0"/>
          <w:sz w:val="18"/>
          <w:szCs w:val="18"/>
          <w:lang w:eastAsia="ja-JP"/>
        </w:rPr>
        <w:t>。</w:t>
      </w:r>
    </w:p>
    <w:p w14:paraId="33A3F4B8">
      <w:pPr>
        <w:widowControl w:val="0"/>
        <w:shd w:val="clear"/>
        <w:autoSpaceDE w:val="0"/>
        <w:autoSpaceDN w:val="0"/>
        <w:spacing w:line="240" w:lineRule="atLeast"/>
        <w:ind w:firstLine="332"/>
        <w:rPr>
          <w:rFonts w:hint="eastAsia" w:ascii="Times New Roman" w:hAnsi="Times New Roman" w:eastAsia="宋体" w:cs="Times New Roman"/>
          <w:color w:val="1D41D5"/>
          <w:kern w:val="0"/>
          <w:sz w:val="18"/>
          <w:szCs w:val="18"/>
          <w:lang w:eastAsia="ja-JP"/>
        </w:rPr>
      </w:pPr>
      <w:r>
        <w:rPr>
          <w:rFonts w:hint="eastAsia" w:ascii="Times New Roman" w:hAnsi="Times New Roman" w:eastAsia="宋体" w:cs="Times New Roman"/>
          <w:color w:val="1D41D5"/>
          <w:kern w:val="0"/>
          <w:sz w:val="18"/>
          <w:szCs w:val="18"/>
          <w:lang w:val="en-US" w:eastAsia="zh-CN"/>
        </w:rPr>
        <w:t>9</w:t>
      </w:r>
      <w:r>
        <w:rPr>
          <w:rFonts w:hint="eastAsia" w:ascii="Times New Roman" w:hAnsi="Times New Roman" w:eastAsia="宋体" w:cs="Times New Roman"/>
          <w:color w:val="1D41D5"/>
          <w:kern w:val="0"/>
          <w:sz w:val="18"/>
          <w:szCs w:val="18"/>
          <w:lang w:eastAsia="ja-JP"/>
        </w:rPr>
        <w:t>.</w:t>
      </w:r>
      <w:r>
        <w:rPr>
          <w:rFonts w:ascii="Times New Roman" w:hAnsi="Times New Roman" w:eastAsia="宋体" w:cs="Times New Roman"/>
          <w:color w:val="1D41D5"/>
          <w:kern w:val="0"/>
          <w:sz w:val="18"/>
          <w:szCs w:val="18"/>
          <w:lang w:eastAsia="ja-JP"/>
        </w:rPr>
        <w:t>大西敏夫，</w:t>
      </w:r>
      <w:r>
        <w:rPr>
          <w:rFonts w:hint="eastAsia" w:ascii="Times New Roman" w:hAnsi="Times New Roman" w:eastAsia="宋体" w:cs="Times New Roman"/>
          <w:color w:val="1D41D5"/>
          <w:kern w:val="0"/>
          <w:sz w:val="18"/>
          <w:szCs w:val="18"/>
          <w:lang w:eastAsia="ja-JP"/>
        </w:rPr>
        <w:t>2019：</w:t>
      </w:r>
      <w:r>
        <w:rPr>
          <w:rFonts w:hint="eastAsia" w:ascii="宋体" w:hAnsi="宋体" w:eastAsia="宋体" w:cs="宋体"/>
          <w:color w:val="1D41D5"/>
          <w:kern w:val="0"/>
          <w:sz w:val="18"/>
          <w:szCs w:val="18"/>
          <w:lang w:eastAsia="ja-JP"/>
        </w:rPr>
        <w:t>「都市</w:t>
      </w:r>
      <w:r>
        <w:rPr>
          <w:rFonts w:hint="eastAsia" w:ascii="宋体" w:hAnsi="宋体" w:eastAsia="宋体" w:cs="宋体"/>
          <w:color w:val="1D41D5"/>
          <w:sz w:val="18"/>
          <w:szCs w:val="18"/>
          <w:lang w:eastAsia="ja-JP"/>
        </w:rPr>
        <w:t>·</w:t>
      </w:r>
      <w:r>
        <w:rPr>
          <w:rFonts w:hint="eastAsia" w:ascii="宋体" w:hAnsi="宋体" w:eastAsia="宋体" w:cs="宋体"/>
          <w:color w:val="1D41D5"/>
          <w:kern w:val="0"/>
          <w:sz w:val="18"/>
          <w:szCs w:val="18"/>
          <w:lang w:eastAsia="ja-JP"/>
        </w:rPr>
        <w:t>農村交流の現段階」</w:t>
      </w:r>
      <w:r>
        <w:rPr>
          <w:rFonts w:hint="eastAsia" w:ascii="MS Mincho" w:hAnsi="MS Mincho" w:eastAsia="MS Mincho" w:cs="Times New Roman"/>
          <w:color w:val="1D41D5"/>
          <w:kern w:val="0"/>
          <w:sz w:val="18"/>
          <w:szCs w:val="18"/>
          <w:lang w:eastAsia="ja-JP"/>
        </w:rPr>
        <w:t>，</w:t>
      </w:r>
      <w:r>
        <w:rPr>
          <w:rFonts w:hint="eastAsia" w:ascii="宋体" w:hAnsi="宋体" w:eastAsia="宋体" w:cs="宋体"/>
          <w:color w:val="1D41D5"/>
          <w:kern w:val="0"/>
          <w:sz w:val="18"/>
          <w:szCs w:val="18"/>
          <w:lang w:eastAsia="ja-JP"/>
        </w:rPr>
        <w:t>『大阪商業大学論集』</w:t>
      </w:r>
      <w:r>
        <w:rPr>
          <w:rFonts w:ascii="Times New Roman" w:hAnsi="Times New Roman" w:eastAsia="宋体" w:cs="Times New Roman"/>
          <w:color w:val="1D41D5"/>
          <w:kern w:val="0"/>
          <w:sz w:val="18"/>
          <w:szCs w:val="18"/>
          <w:lang w:eastAsia="ja-JP"/>
        </w:rPr>
        <w:t>第15巻第1号</w:t>
      </w:r>
      <w:r>
        <w:rPr>
          <w:rFonts w:hint="eastAsia" w:ascii="Times New Roman" w:hAnsi="Times New Roman" w:eastAsia="宋体" w:cs="Times New Roman"/>
          <w:color w:val="1D41D5"/>
          <w:kern w:val="0"/>
          <w:sz w:val="18"/>
          <w:szCs w:val="18"/>
          <w:lang w:eastAsia="ja-JP"/>
        </w:rPr>
        <w:t>，第1</w:t>
      </w:r>
      <w:r>
        <w:rPr>
          <w:rFonts w:ascii="Times New Roman" w:hAnsi="Times New Roman" w:eastAsia="宋体" w:cs="Times New Roman"/>
          <w:color w:val="1D41D5"/>
          <w:kern w:val="0"/>
          <w:sz w:val="18"/>
          <w:szCs w:val="18"/>
          <w:lang w:eastAsia="ja-JP"/>
        </w:rPr>
        <w:t>80-185</w:t>
      </w:r>
      <w:r>
        <w:rPr>
          <w:rFonts w:hint="eastAsia" w:ascii="宋体" w:hAnsi="宋体" w:eastAsia="宋体" w:cs="宋体"/>
          <w:color w:val="1D41D5"/>
          <w:kern w:val="0"/>
          <w:sz w:val="18"/>
          <w:szCs w:val="18"/>
          <w:lang w:eastAsia="ja-JP"/>
        </w:rPr>
        <w:t>頁</w:t>
      </w:r>
      <w:r>
        <w:rPr>
          <w:rFonts w:ascii="Times New Roman" w:hAnsi="Times New Roman" w:eastAsia="宋体" w:cs="Times New Roman"/>
          <w:color w:val="1D41D5"/>
          <w:kern w:val="0"/>
          <w:sz w:val="18"/>
          <w:szCs w:val="18"/>
          <w:lang w:eastAsia="ja-JP"/>
        </w:rPr>
        <w:t>。</w:t>
      </w:r>
    </w:p>
    <w:p w14:paraId="7EE6DB05">
      <w:pPr>
        <w:widowControl w:val="0"/>
        <w:shd w:val="clear"/>
        <w:autoSpaceDE w:val="0"/>
        <w:autoSpaceDN w:val="0"/>
        <w:spacing w:line="240" w:lineRule="atLeast"/>
        <w:ind w:firstLine="332"/>
        <w:rPr>
          <w:rFonts w:hint="eastAsia" w:ascii="Times New Roman" w:hAnsi="Times New Roman" w:eastAsia="宋体" w:cs="Times New Roman"/>
          <w:color w:val="1D41D5"/>
          <w:kern w:val="0"/>
          <w:sz w:val="18"/>
          <w:szCs w:val="18"/>
        </w:rPr>
      </w:pPr>
      <w:r>
        <w:rPr>
          <w:rFonts w:hint="eastAsia" w:ascii="Times New Roman" w:hAnsi="Times New Roman" w:eastAsia="宋体" w:cs="Times New Roman"/>
          <w:color w:val="1D41D5"/>
          <w:kern w:val="0"/>
          <w:sz w:val="18"/>
          <w:szCs w:val="18"/>
          <w:lang w:val="en-US" w:eastAsia="zh-CN"/>
        </w:rPr>
        <w:t>1</w:t>
      </w:r>
      <w:r>
        <w:rPr>
          <w:rFonts w:hint="eastAsia" w:ascii="Times New Roman" w:hAnsi="Times New Roman" w:eastAsia="宋体" w:cs="Times New Roman"/>
          <w:color w:val="1D41D5"/>
          <w:kern w:val="0"/>
          <w:sz w:val="18"/>
          <w:szCs w:val="18"/>
        </w:rPr>
        <w:t>0.島恭彦，1951：</w:t>
      </w:r>
      <w:r>
        <w:rPr>
          <w:rFonts w:hint="eastAsia" w:ascii="宋体" w:hAnsi="宋体" w:eastAsia="宋体" w:cs="宋体"/>
          <w:color w:val="1D41D5"/>
          <w:kern w:val="0"/>
          <w:sz w:val="18"/>
          <w:szCs w:val="18"/>
        </w:rPr>
        <w:t>『</w:t>
      </w:r>
      <w:r>
        <w:rPr>
          <w:rFonts w:hint="eastAsia" w:ascii="Times New Roman" w:hAnsi="Times New Roman" w:eastAsia="宋体" w:cs="Times New Roman"/>
          <w:color w:val="1D41D5"/>
          <w:kern w:val="0"/>
          <w:sz w:val="18"/>
          <w:szCs w:val="18"/>
        </w:rPr>
        <w:t>現代地方財政論</w:t>
      </w:r>
      <w:r>
        <w:rPr>
          <w:rFonts w:hint="eastAsia" w:ascii="宋体" w:hAnsi="宋体" w:eastAsia="宋体" w:cs="宋体"/>
          <w:color w:val="1D41D5"/>
          <w:kern w:val="0"/>
          <w:sz w:val="18"/>
          <w:szCs w:val="18"/>
        </w:rPr>
        <w:t>』</w:t>
      </w:r>
      <w:r>
        <w:rPr>
          <w:rFonts w:hint="eastAsia" w:ascii="Times New Roman" w:hAnsi="Times New Roman" w:eastAsia="宋体" w:cs="Times New Roman"/>
          <w:color w:val="1D41D5"/>
          <w:kern w:val="0"/>
          <w:sz w:val="18"/>
          <w:szCs w:val="18"/>
        </w:rPr>
        <w:t>，東京：岩波書店，第59-70</w:t>
      </w:r>
      <w:r>
        <w:rPr>
          <w:rFonts w:hint="eastAsia" w:ascii="宋体" w:hAnsi="宋体" w:eastAsia="宋体" w:cs="宋体"/>
          <w:color w:val="1D41D5"/>
          <w:kern w:val="0"/>
          <w:sz w:val="18"/>
          <w:szCs w:val="18"/>
        </w:rPr>
        <w:t>頁</w:t>
      </w:r>
      <w:r>
        <w:rPr>
          <w:rFonts w:hint="eastAsia" w:ascii="Times New Roman" w:hAnsi="Times New Roman" w:eastAsia="宋体" w:cs="Times New Roman"/>
          <w:color w:val="1D41D5"/>
          <w:kern w:val="0"/>
          <w:sz w:val="18"/>
          <w:szCs w:val="18"/>
        </w:rPr>
        <w:t>。</w:t>
      </w:r>
    </w:p>
    <w:p w14:paraId="7A238366">
      <w:pPr>
        <w:spacing w:line="240" w:lineRule="atLeast"/>
        <w:ind w:firstLine="332" w:firstLineChars="200"/>
        <w:rPr>
          <w:rFonts w:ascii="Times New Roman" w:hAnsi="Times New Roman" w:eastAsia="宋体" w:cs="Times New Roman"/>
          <w:color w:val="000000"/>
          <w:sz w:val="18"/>
          <w:szCs w:val="22"/>
        </w:rPr>
      </w:pPr>
      <w:r>
        <w:rPr>
          <w:rFonts w:hint="eastAsia" w:ascii="Times New Roman" w:hAnsi="Times New Roman" w:eastAsia="宋体" w:cs="Times New Roman"/>
          <w:color w:val="000000"/>
          <w:sz w:val="18"/>
          <w:szCs w:val="22"/>
          <w:lang w:val="en-US" w:eastAsia="zh-CN"/>
        </w:rPr>
        <w:t>11</w:t>
      </w:r>
      <w:r>
        <w:rPr>
          <w:rFonts w:ascii="Times New Roman" w:hAnsi="Times New Roman" w:eastAsia="宋体" w:cs="Times New Roman"/>
          <w:color w:val="000000"/>
          <w:sz w:val="18"/>
          <w:szCs w:val="22"/>
        </w:rPr>
        <w:t>.de Chaisemartin, C., and X. D’Haultfoeuille, 2020, “Two-way Fixed Effects Estimators with Heterogeneous Treatment Effects”,</w:t>
      </w:r>
      <w:r>
        <w:rPr>
          <w:rFonts w:ascii="Times New Roman" w:hAnsi="Times New Roman" w:eastAsia="宋体" w:cs="Times New Roman"/>
          <w:i/>
          <w:iCs/>
          <w:color w:val="000000"/>
          <w:sz w:val="18"/>
          <w:szCs w:val="22"/>
        </w:rPr>
        <w:t xml:space="preserve"> American Economic Review</w:t>
      </w:r>
      <w:r>
        <w:rPr>
          <w:rFonts w:ascii="Times New Roman" w:hAnsi="Times New Roman" w:eastAsia="宋体" w:cs="Times New Roman"/>
          <w:color w:val="000000"/>
          <w:sz w:val="18"/>
          <w:szCs w:val="22"/>
        </w:rPr>
        <w:t>, 110(9): 2964-2996.</w:t>
      </w:r>
    </w:p>
    <w:p w14:paraId="2CF45BDF">
      <w:pPr>
        <w:spacing w:line="240" w:lineRule="atLeast"/>
        <w:ind w:firstLine="332" w:firstLineChars="200"/>
        <w:rPr>
          <w:rFonts w:ascii="Times New Roman" w:hAnsi="Times New Roman" w:eastAsia="宋体" w:cs="Times New Roman"/>
          <w:color w:val="000000"/>
          <w:sz w:val="18"/>
          <w:szCs w:val="22"/>
        </w:rPr>
      </w:pPr>
      <w:r>
        <w:rPr>
          <w:rFonts w:hint="eastAsia" w:ascii="Times New Roman" w:hAnsi="Times New Roman" w:eastAsia="宋体" w:cs="Times New Roman"/>
          <w:color w:val="000000"/>
          <w:sz w:val="18"/>
          <w:szCs w:val="22"/>
          <w:lang w:val="en-US" w:eastAsia="zh-CN"/>
        </w:rPr>
        <w:t>12</w:t>
      </w:r>
      <w:r>
        <w:rPr>
          <w:rFonts w:ascii="Times New Roman" w:hAnsi="Times New Roman" w:eastAsia="宋体" w:cs="Times New Roman"/>
          <w:color w:val="000000"/>
          <w:sz w:val="18"/>
          <w:szCs w:val="22"/>
        </w:rPr>
        <w:t xml:space="preserve">.Gentzkow, M., 2006, “Television and Voter Turnout”, </w:t>
      </w:r>
      <w:r>
        <w:rPr>
          <w:rFonts w:ascii="Times New Roman" w:hAnsi="Times New Roman" w:eastAsia="宋体" w:cs="Times New Roman"/>
          <w:i/>
          <w:iCs/>
          <w:color w:val="000000"/>
          <w:sz w:val="18"/>
          <w:szCs w:val="22"/>
        </w:rPr>
        <w:t>Quarterly Journal of Economics</w:t>
      </w:r>
      <w:r>
        <w:rPr>
          <w:rFonts w:ascii="Times New Roman" w:hAnsi="Times New Roman" w:eastAsia="宋体" w:cs="Times New Roman"/>
          <w:color w:val="000000"/>
          <w:sz w:val="18"/>
          <w:szCs w:val="22"/>
        </w:rPr>
        <w:t>, 121(3): 931-972.</w:t>
      </w:r>
    </w:p>
    <w:p w14:paraId="4E2320E0">
      <w:pPr>
        <w:spacing w:line="240" w:lineRule="atLeast"/>
        <w:ind w:firstLine="332" w:firstLineChars="200"/>
        <w:rPr>
          <w:rFonts w:hint="default" w:ascii="Times New Roman" w:hAnsi="Times New Roman" w:eastAsia="宋体" w:cs="Times New Roman"/>
          <w:color w:val="000000"/>
          <w:sz w:val="18"/>
          <w:szCs w:val="22"/>
        </w:rPr>
      </w:pPr>
      <w:r>
        <w:rPr>
          <w:rFonts w:hint="eastAsia" w:ascii="Times New Roman" w:hAnsi="Times New Roman" w:eastAsia="宋体" w:cs="Times New Roman"/>
          <w:color w:val="000000"/>
          <w:sz w:val="18"/>
          <w:szCs w:val="22"/>
          <w:lang w:val="en-US" w:eastAsia="zh-CN"/>
        </w:rPr>
        <w:t>13</w:t>
      </w:r>
      <w:r>
        <w:rPr>
          <w:rFonts w:hint="default" w:ascii="Times New Roman" w:hAnsi="Times New Roman" w:eastAsia="宋体" w:cs="Times New Roman"/>
          <w:color w:val="000000"/>
          <w:sz w:val="18"/>
          <w:szCs w:val="22"/>
        </w:rPr>
        <w:t xml:space="preserve">.Hagedoorn, J., 2006, “Understanding the Cross-Level Embeddedness of Interfirm Partnership Formation”, </w:t>
      </w:r>
      <w:r>
        <w:rPr>
          <w:rFonts w:hint="default" w:ascii="Times New Roman" w:hAnsi="Times New Roman" w:eastAsia="宋体" w:cs="Times New Roman"/>
          <w:i/>
          <w:iCs/>
          <w:color w:val="000000"/>
          <w:sz w:val="18"/>
          <w:szCs w:val="22"/>
        </w:rPr>
        <w:t>Academy of Management Review</w:t>
      </w:r>
      <w:r>
        <w:rPr>
          <w:rFonts w:hint="default" w:ascii="Times New Roman" w:hAnsi="Times New Roman" w:eastAsia="宋体" w:cs="Times New Roman"/>
          <w:color w:val="000000"/>
          <w:sz w:val="18"/>
          <w:szCs w:val="22"/>
        </w:rPr>
        <w:t>, 31: 670-680.</w:t>
      </w:r>
    </w:p>
    <w:p w14:paraId="0B64E19C">
      <w:pPr>
        <w:spacing w:beforeLines="0" w:afterLines="0" w:line="240" w:lineRule="atLeast"/>
        <w:ind w:firstLine="332" w:firstLineChars="200"/>
        <w:rPr>
          <w:rFonts w:hint="default" w:ascii="Times New Roman" w:hAnsi="Times New Roman" w:cs="Times New Roman"/>
          <w:color w:val="000000"/>
          <w:sz w:val="18"/>
          <w:szCs w:val="22"/>
          <w:highlight w:val="none"/>
        </w:rPr>
      </w:pPr>
      <w:r>
        <w:rPr>
          <w:rFonts w:hint="eastAsia" w:ascii="Times New Roman" w:hAnsi="Times New Roman" w:cs="Times New Roman"/>
          <w:color w:val="000000"/>
          <w:sz w:val="18"/>
          <w:szCs w:val="22"/>
          <w:highlight w:val="none"/>
          <w:lang w:val="en-US" w:eastAsia="zh-CN"/>
        </w:rPr>
        <w:t>14</w:t>
      </w:r>
      <w:r>
        <w:rPr>
          <w:rFonts w:hint="default" w:ascii="Times New Roman" w:hAnsi="Times New Roman" w:cs="Times New Roman"/>
          <w:color w:val="000000"/>
          <w:sz w:val="18"/>
          <w:szCs w:val="22"/>
          <w:highlight w:val="none"/>
        </w:rPr>
        <w:t>.Bourdieu, P., 2016, “Habitus”, in J. Hiller</w:t>
      </w:r>
      <w:r>
        <w:rPr>
          <w:rFonts w:hint="default" w:ascii="Times New Roman" w:hAnsi="Times New Roman" w:cs="Times New Roman"/>
          <w:color w:val="000000"/>
          <w:sz w:val="18"/>
          <w:szCs w:val="22"/>
          <w:highlight w:val="none"/>
          <w:lang w:val="en-US" w:eastAsia="zh-CN"/>
        </w:rPr>
        <w:t>,</w:t>
      </w:r>
      <w:r>
        <w:rPr>
          <w:rFonts w:hint="default" w:ascii="Times New Roman" w:hAnsi="Times New Roman" w:cs="Times New Roman"/>
          <w:color w:val="000000"/>
          <w:sz w:val="18"/>
          <w:szCs w:val="22"/>
          <w:highlight w:val="none"/>
        </w:rPr>
        <w:t xml:space="preserve"> and E. Rooksby (eds.) </w:t>
      </w:r>
      <w:r>
        <w:rPr>
          <w:rFonts w:hint="default" w:ascii="Times New Roman" w:hAnsi="Times New Roman" w:cs="Times New Roman"/>
          <w:i/>
          <w:color w:val="000000"/>
          <w:sz w:val="18"/>
          <w:szCs w:val="22"/>
          <w:highlight w:val="none"/>
        </w:rPr>
        <w:t xml:space="preserve">Habitus: A </w:t>
      </w:r>
      <w:r>
        <w:rPr>
          <w:rFonts w:hint="default" w:ascii="Times New Roman" w:hAnsi="Times New Roman" w:cs="Times New Roman"/>
          <w:i/>
          <w:color w:val="000000"/>
          <w:sz w:val="18"/>
          <w:szCs w:val="22"/>
          <w:highlight w:val="none"/>
          <w:lang w:val="en-US" w:eastAsia="zh-CN"/>
        </w:rPr>
        <w:t>S</w:t>
      </w:r>
      <w:r>
        <w:rPr>
          <w:rFonts w:hint="default" w:ascii="Times New Roman" w:hAnsi="Times New Roman" w:cs="Times New Roman"/>
          <w:i/>
          <w:color w:val="000000"/>
          <w:sz w:val="18"/>
          <w:szCs w:val="22"/>
          <w:highlight w:val="none"/>
        </w:rPr>
        <w:t xml:space="preserve">ense of </w:t>
      </w:r>
      <w:r>
        <w:rPr>
          <w:rFonts w:hint="default" w:ascii="Times New Roman" w:hAnsi="Times New Roman" w:cs="Times New Roman"/>
          <w:i/>
          <w:color w:val="000000"/>
          <w:sz w:val="18"/>
          <w:szCs w:val="22"/>
          <w:highlight w:val="none"/>
          <w:lang w:val="en-US" w:eastAsia="zh-CN"/>
        </w:rPr>
        <w:t>P</w:t>
      </w:r>
      <w:r>
        <w:rPr>
          <w:rFonts w:hint="default" w:ascii="Times New Roman" w:hAnsi="Times New Roman" w:cs="Times New Roman"/>
          <w:i/>
          <w:color w:val="000000"/>
          <w:sz w:val="18"/>
          <w:szCs w:val="22"/>
          <w:highlight w:val="none"/>
        </w:rPr>
        <w:t>lace</w:t>
      </w:r>
      <w:r>
        <w:rPr>
          <w:rFonts w:hint="default" w:ascii="Times New Roman" w:hAnsi="Times New Roman" w:cs="Times New Roman"/>
          <w:color w:val="000000"/>
          <w:sz w:val="18"/>
          <w:szCs w:val="22"/>
          <w:highlight w:val="none"/>
        </w:rPr>
        <w:t>, New York: Routledge, 59-66.</w:t>
      </w:r>
    </w:p>
    <w:p w14:paraId="7707B05A">
      <w:pPr>
        <w:spacing w:beforeLines="0" w:afterLines="0" w:line="240" w:lineRule="atLeast"/>
        <w:ind w:firstLine="332" w:firstLineChars="200"/>
        <w:rPr>
          <w:rFonts w:hint="default" w:ascii="Times New Roman" w:hAnsi="Times New Roman" w:cs="Times New Roman"/>
          <w:color w:val="000000"/>
          <w:sz w:val="18"/>
          <w:szCs w:val="22"/>
          <w:highlight w:val="none"/>
        </w:rPr>
      </w:pPr>
      <w:r>
        <w:rPr>
          <w:rFonts w:hint="eastAsia" w:ascii="Times New Roman" w:hAnsi="Times New Roman" w:cs="Times New Roman"/>
          <w:color w:val="000000"/>
          <w:sz w:val="18"/>
          <w:szCs w:val="22"/>
          <w:highlight w:val="none"/>
          <w:lang w:val="en-US" w:eastAsia="zh-CN"/>
        </w:rPr>
        <w:t>15</w:t>
      </w:r>
      <w:r>
        <w:rPr>
          <w:rFonts w:hint="default" w:ascii="Times New Roman" w:hAnsi="Times New Roman" w:cs="Times New Roman"/>
          <w:color w:val="000000"/>
          <w:sz w:val="18"/>
          <w:szCs w:val="22"/>
          <w:highlight w:val="none"/>
        </w:rPr>
        <w:t xml:space="preserve">.Wellman, B., 2008, “An Electronic Group is Virtually Asocial Network”, in S. </w:t>
      </w:r>
      <w:r>
        <w:rPr>
          <w:rFonts w:hint="default" w:ascii="Times New Roman" w:hAnsi="Times New Roman" w:cs="Times New Roman"/>
          <w:color w:val="000000"/>
          <w:sz w:val="18"/>
          <w:szCs w:val="22"/>
          <w:highlight w:val="none"/>
        </w:rPr>
        <w:fldChar w:fldCharType="begin"/>
      </w:r>
      <w:r>
        <w:rPr>
          <w:rFonts w:hint="default" w:ascii="Times New Roman" w:hAnsi="Times New Roman" w:cs="Times New Roman"/>
          <w:color w:val="000000"/>
          <w:sz w:val="18"/>
          <w:szCs w:val="22"/>
          <w:highlight w:val="none"/>
        </w:rPr>
        <w:instrText xml:space="preserve"> HYPERLINK "https://www.taylorfrancis.com/search?contributorName=Sara Kiesler&amp;contributorRole=editor&amp;redirectFromPDP=true&amp;context=ubx" </w:instrText>
      </w:r>
      <w:r>
        <w:rPr>
          <w:rFonts w:hint="default" w:ascii="Times New Roman" w:hAnsi="Times New Roman" w:cs="Times New Roman"/>
          <w:color w:val="000000"/>
          <w:sz w:val="18"/>
          <w:szCs w:val="22"/>
          <w:highlight w:val="none"/>
        </w:rPr>
        <w:fldChar w:fldCharType="separate"/>
      </w:r>
      <w:r>
        <w:rPr>
          <w:rFonts w:hint="default" w:ascii="Times New Roman" w:hAnsi="Times New Roman" w:cs="Times New Roman"/>
          <w:color w:val="000000"/>
          <w:sz w:val="18"/>
          <w:szCs w:val="22"/>
          <w:highlight w:val="none"/>
        </w:rPr>
        <w:t>Kiesler</w:t>
      </w:r>
      <w:r>
        <w:rPr>
          <w:rFonts w:hint="default" w:ascii="Times New Roman" w:hAnsi="Times New Roman" w:cs="Times New Roman"/>
          <w:color w:val="000000"/>
          <w:sz w:val="18"/>
          <w:szCs w:val="22"/>
          <w:highlight w:val="none"/>
        </w:rPr>
        <w:fldChar w:fldCharType="end"/>
      </w:r>
      <w:r>
        <w:rPr>
          <w:rFonts w:hint="default" w:ascii="Times New Roman" w:hAnsi="Times New Roman" w:cs="Times New Roman"/>
          <w:color w:val="000000"/>
          <w:sz w:val="18"/>
          <w:szCs w:val="22"/>
          <w:highlight w:val="none"/>
        </w:rPr>
        <w:t xml:space="preserve"> (ed.) </w:t>
      </w:r>
      <w:r>
        <w:rPr>
          <w:rFonts w:hint="default" w:ascii="Times New Roman" w:hAnsi="Times New Roman" w:cs="Times New Roman"/>
          <w:i/>
          <w:color w:val="000000"/>
          <w:sz w:val="18"/>
          <w:szCs w:val="22"/>
          <w:highlight w:val="none"/>
        </w:rPr>
        <w:t>Culture of the Internet</w:t>
      </w:r>
      <w:r>
        <w:rPr>
          <w:rFonts w:hint="default" w:ascii="Times New Roman" w:hAnsi="Times New Roman" w:cs="Times New Roman"/>
          <w:color w:val="000000"/>
          <w:sz w:val="18"/>
          <w:szCs w:val="22"/>
          <w:highlight w:val="none"/>
        </w:rPr>
        <w:t>, New York: Psychology Press, 179-205.</w:t>
      </w:r>
    </w:p>
    <w:p w14:paraId="57F5F725">
      <w:pPr>
        <w:spacing w:line="240" w:lineRule="atLeast"/>
        <w:ind w:firstLine="332" w:firstLineChars="200"/>
        <w:rPr>
          <w:rFonts w:ascii="Times New Roman" w:hAnsi="Times New Roman" w:eastAsia="黑体" w:cs="Times New Roman"/>
          <w:bCs/>
          <w:color w:val="000000"/>
          <w:sz w:val="18"/>
          <w:szCs w:val="20"/>
        </w:rPr>
      </w:pPr>
    </w:p>
    <w:p w14:paraId="26A20A27">
      <w:pPr>
        <w:spacing w:line="240" w:lineRule="atLeast"/>
        <w:rPr>
          <w:rFonts w:ascii="Times New Roman" w:hAnsi="Times New Roman" w:eastAsia="黑体" w:cs="Times New Roman"/>
          <w:bCs/>
          <w:color w:val="FF0000"/>
          <w:szCs w:val="21"/>
        </w:rPr>
      </w:pPr>
      <w:r>
        <w:rPr>
          <w:rFonts w:hint="eastAsia" w:ascii="Times New Roman" w:hAnsi="Times New Roman" w:eastAsia="黑体" w:cs="Times New Roman"/>
          <w:bCs/>
          <w:color w:val="FF0000"/>
          <w:szCs w:val="21"/>
        </w:rPr>
        <w:t>【参考文献规范】</w:t>
      </w:r>
    </w:p>
    <w:p w14:paraId="3730ADF5">
      <w:pPr>
        <w:spacing w:line="240" w:lineRule="atLeast"/>
        <w:ind w:firstLine="392" w:firstLineChars="200"/>
        <w:rPr>
          <w:rFonts w:hint="default"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FF0000"/>
          <w:szCs w:val="21"/>
        </w:rPr>
        <w:t>1</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参考文献中文为宋体，英文和数字为Times</w:t>
      </w:r>
      <w:r>
        <w:rPr>
          <w:rFonts w:ascii="Times New Roman" w:hAnsi="Times New Roman" w:eastAsia="宋体" w:cs="Times New Roman"/>
          <w:bCs/>
          <w:color w:val="FF0000"/>
          <w:szCs w:val="21"/>
        </w:rPr>
        <w:t xml:space="preserve"> </w:t>
      </w:r>
      <w:r>
        <w:rPr>
          <w:rFonts w:hint="eastAsia" w:ascii="Times New Roman" w:hAnsi="Times New Roman" w:eastAsia="宋体" w:cs="Times New Roman"/>
          <w:bCs/>
          <w:color w:val="FF0000"/>
          <w:szCs w:val="21"/>
        </w:rPr>
        <w:t>New</w:t>
      </w:r>
      <w:r>
        <w:rPr>
          <w:rFonts w:ascii="Times New Roman" w:hAnsi="Times New Roman" w:eastAsia="宋体" w:cs="Times New Roman"/>
          <w:bCs/>
          <w:color w:val="FF0000"/>
          <w:szCs w:val="21"/>
        </w:rPr>
        <w:t xml:space="preserve"> </w:t>
      </w:r>
      <w:r>
        <w:rPr>
          <w:rFonts w:hint="eastAsia" w:ascii="Times New Roman" w:hAnsi="Times New Roman" w:eastAsia="宋体" w:cs="Times New Roman"/>
          <w:bCs/>
          <w:color w:val="FF0000"/>
          <w:szCs w:val="21"/>
        </w:rPr>
        <w:t>Roman，字号为小五，</w:t>
      </w:r>
      <w:r>
        <w:rPr>
          <w:rFonts w:hint="eastAsia" w:ascii="Times New Roman" w:hAnsi="Times New Roman" w:eastAsia="宋体" w:cs="宋体"/>
          <w:color w:val="FF0000"/>
          <w:szCs w:val="21"/>
          <w:shd w:val="clear" w:color="auto" w:fill="FFFFFF"/>
        </w:rPr>
        <w:t>左缩进两格，行距为最小值1</w:t>
      </w:r>
      <w:r>
        <w:rPr>
          <w:rFonts w:ascii="Times New Roman" w:hAnsi="Times New Roman" w:eastAsia="宋体" w:cs="宋体"/>
          <w:color w:val="FF0000"/>
          <w:szCs w:val="21"/>
          <w:shd w:val="clear" w:color="auto" w:fill="FFFFFF"/>
        </w:rPr>
        <w:t>2</w:t>
      </w:r>
      <w:r>
        <w:rPr>
          <w:rFonts w:hint="eastAsia" w:ascii="Times New Roman" w:hAnsi="Times New Roman" w:eastAsia="宋体" w:cs="宋体"/>
          <w:color w:val="FF0000"/>
          <w:szCs w:val="21"/>
          <w:shd w:val="clear" w:color="auto" w:fill="FFFFFF"/>
        </w:rPr>
        <w:t>磅，</w:t>
      </w:r>
      <w:r>
        <w:rPr>
          <w:rFonts w:hint="eastAsia" w:ascii="Times New Roman" w:hAnsi="Times New Roman" w:eastAsia="宋体" w:cs="Times New Roman"/>
          <w:bCs/>
          <w:color w:val="FF0000"/>
          <w:szCs w:val="21"/>
        </w:rPr>
        <w:t>每篇文献独立成段。</w:t>
      </w:r>
    </w:p>
    <w:p w14:paraId="40388E65">
      <w:pPr>
        <w:spacing w:line="240" w:lineRule="atLeast"/>
        <w:ind w:firstLine="392" w:firstLineChars="200"/>
        <w:rPr>
          <w:rFonts w:hint="eastAsia" w:ascii="Times New Roman" w:hAnsi="Times New Roman" w:eastAsia="宋体" w:cs="Times New Roman"/>
          <w:bCs/>
          <w:color w:val="FF0000"/>
          <w:szCs w:val="21"/>
          <w:lang w:eastAsia="zh-CN"/>
        </w:rPr>
      </w:pPr>
      <w:r>
        <w:rPr>
          <w:rFonts w:hint="eastAsia" w:ascii="Times New Roman" w:hAnsi="Times New Roman" w:eastAsia="宋体" w:cs="Times New Roman"/>
          <w:bCs/>
          <w:color w:val="FF0000"/>
          <w:szCs w:val="21"/>
        </w:rPr>
        <w:t>2</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参考文献按照</w:t>
      </w:r>
      <w:r>
        <w:rPr>
          <w:rFonts w:hint="eastAsia" w:ascii="Times New Roman" w:hAnsi="Times New Roman" w:eastAsia="宋体" w:cs="Times New Roman"/>
          <w:bCs/>
          <w:color w:val="FF0000"/>
          <w:szCs w:val="21"/>
          <w:lang w:val="en-US" w:eastAsia="zh-CN"/>
        </w:rPr>
        <w:t>作者姓名首位字母顺序</w:t>
      </w:r>
      <w:r>
        <w:rPr>
          <w:rFonts w:hint="eastAsia" w:ascii="Times New Roman" w:hAnsi="Times New Roman" w:eastAsia="宋体" w:cs="Times New Roman"/>
          <w:bCs/>
          <w:color w:val="FF0000"/>
          <w:szCs w:val="21"/>
        </w:rPr>
        <w:t>排列</w:t>
      </w:r>
      <w:r>
        <w:rPr>
          <w:rFonts w:hint="eastAsia" w:ascii="Times New Roman" w:hAnsi="Times New Roman" w:eastAsia="宋体" w:cs="Times New Roman"/>
          <w:bCs/>
          <w:color w:val="FF0000"/>
          <w:szCs w:val="21"/>
          <w:lang w:eastAsia="zh-CN"/>
        </w:rPr>
        <w:t>。</w:t>
      </w:r>
      <w:r>
        <w:rPr>
          <w:rFonts w:hint="eastAsia" w:ascii="Times New Roman" w:hAnsi="Times New Roman" w:eastAsia="宋体" w:cs="Times New Roman"/>
          <w:bCs/>
          <w:color w:val="FF0000"/>
          <w:szCs w:val="21"/>
        </w:rPr>
        <w:t>手动排序，</w:t>
      </w:r>
      <w:r>
        <w:rPr>
          <w:rFonts w:hint="eastAsia" w:ascii="Times New Roman" w:hAnsi="Times New Roman" w:eastAsia="宋体" w:cs="Times New Roman"/>
          <w:bCs/>
          <w:color w:val="1D41D5"/>
          <w:szCs w:val="21"/>
        </w:rPr>
        <w:t>不使用自动排序</w:t>
      </w:r>
      <w:r>
        <w:rPr>
          <w:rFonts w:hint="eastAsia" w:ascii="Times New Roman" w:hAnsi="Times New Roman" w:eastAsia="宋体" w:cs="Times New Roman"/>
          <w:bCs/>
          <w:color w:val="FF0000"/>
          <w:szCs w:val="21"/>
        </w:rPr>
        <w:t>。</w:t>
      </w:r>
      <w:r>
        <w:rPr>
          <w:rFonts w:hint="eastAsia" w:ascii="Times New Roman" w:hAnsi="Times New Roman" w:eastAsia="宋体" w:cs="Times New Roman"/>
          <w:bCs/>
          <w:color w:val="FF0000"/>
          <w:szCs w:val="21"/>
          <w:lang w:eastAsia="zh-CN"/>
        </w:rPr>
        <w:t>（</w:t>
      </w:r>
      <w:r>
        <w:rPr>
          <w:rFonts w:hint="eastAsia"/>
          <w:b w:val="0"/>
          <w:bCs w:val="0"/>
          <w:color w:val="0000FF"/>
          <w:lang w:val="en-US" w:eastAsia="zh-CN"/>
        </w:rPr>
        <w:t>中英文分排，按照中文、日文、西文、俄文、其他文种顺序排列</w:t>
      </w:r>
      <w:r>
        <w:rPr>
          <w:rFonts w:hint="eastAsia" w:ascii="Times New Roman" w:hAnsi="Times New Roman" w:eastAsia="宋体" w:cs="Times New Roman"/>
          <w:bCs/>
          <w:color w:val="FF0000"/>
          <w:szCs w:val="21"/>
          <w:lang w:val="en-US" w:eastAsia="zh-CN"/>
        </w:rPr>
        <w:t>）</w:t>
      </w:r>
      <w:r>
        <w:rPr>
          <w:rFonts w:hint="eastAsia" w:ascii="Times New Roman" w:hAnsi="Times New Roman" w:eastAsia="宋体" w:cs="Times New Roman"/>
          <w:bCs/>
          <w:color w:val="FF0000"/>
          <w:szCs w:val="21"/>
          <w:lang w:eastAsia="zh-CN"/>
        </w:rPr>
        <w:t>。</w:t>
      </w:r>
    </w:p>
    <w:p w14:paraId="48DB9613">
      <w:pPr>
        <w:spacing w:line="240" w:lineRule="atLeast"/>
        <w:ind w:firstLine="392" w:firstLineChars="200"/>
        <w:rPr>
          <w:rFonts w:hint="eastAsia"/>
          <w:b w:val="0"/>
          <w:bCs w:val="0"/>
          <w:color w:val="0000FF"/>
          <w:lang w:val="en-US" w:eastAsia="zh-CN"/>
        </w:rPr>
      </w:pPr>
      <w:r>
        <w:rPr>
          <w:rFonts w:hint="eastAsia" w:ascii="Times New Roman" w:hAnsi="Times New Roman" w:eastAsia="宋体" w:cs="Times New Roman"/>
          <w:bCs/>
          <w:color w:val="FF0000"/>
          <w:szCs w:val="21"/>
          <w:lang w:val="en-US" w:eastAsia="zh-CN"/>
        </w:rPr>
        <w:t>3.</w:t>
      </w:r>
      <w:r>
        <w:rPr>
          <w:rFonts w:hint="eastAsia" w:ascii="Times New Roman" w:hAnsi="Times New Roman" w:eastAsia="宋体" w:cs="Times New Roman"/>
          <w:bCs/>
          <w:color w:val="FF0000"/>
          <w:szCs w:val="21"/>
        </w:rPr>
        <w:t>中文文献按第一作者姓名拼音首字母排序，英文文献按第一作者姓的首字母排序</w:t>
      </w:r>
      <w:r>
        <w:rPr>
          <w:rFonts w:hint="eastAsia" w:ascii="Times New Roman" w:hAnsi="Times New Roman" w:eastAsia="宋体" w:cs="Times New Roman"/>
          <w:bCs/>
          <w:color w:val="FF0000"/>
          <w:szCs w:val="21"/>
          <w:lang w:eastAsia="zh-CN"/>
        </w:rPr>
        <w:t>，</w:t>
      </w:r>
      <w:r>
        <w:rPr>
          <w:rFonts w:hint="eastAsia" w:ascii="Times New Roman" w:hAnsi="Times New Roman" w:eastAsia="宋体" w:cs="Times New Roman"/>
          <w:bCs/>
          <w:color w:val="FF0000"/>
          <w:szCs w:val="21"/>
          <w:lang w:val="en-US" w:eastAsia="zh-CN"/>
        </w:rPr>
        <w:t>日文文献按五十音排序，</w:t>
      </w:r>
      <w:bookmarkStart w:id="24" w:name="_GoBack"/>
      <w:bookmarkEnd w:id="24"/>
      <w:r>
        <w:rPr>
          <w:rFonts w:hint="eastAsia" w:ascii="Times New Roman" w:hAnsi="Times New Roman" w:eastAsia="宋体" w:cs="Times New Roman"/>
          <w:bCs/>
          <w:color w:val="FF0000"/>
          <w:szCs w:val="21"/>
        </w:rPr>
        <w:t>并按“1.”“2.”“3.”编号。</w:t>
      </w:r>
      <w:r>
        <w:rPr>
          <w:rFonts w:hint="eastAsia"/>
          <w:b w:val="0"/>
          <w:bCs w:val="0"/>
          <w:color w:val="0000FF"/>
          <w:lang w:val="en-US" w:eastAsia="zh-CN"/>
        </w:rPr>
        <w:t>对于国外作者作为独立作者，或与中国作者合作的中文期刊文章，国外作者的姓名呈现方式以原刊为准，如国外作者是第一作者，排序时也基于原刊的姓名呈现方式进行排序。</w:t>
      </w:r>
    </w:p>
    <w:p w14:paraId="0DFA1879">
      <w:pPr>
        <w:spacing w:line="240" w:lineRule="atLeast"/>
        <w:ind w:firstLine="392" w:firstLineChars="200"/>
        <w:rPr>
          <w:rFonts w:hint="eastAsia" w:ascii="Times New Roman" w:hAnsi="Times New Roman" w:eastAsia="宋体" w:cs="Times New Roman"/>
          <w:bCs/>
          <w:color w:val="FF0000"/>
          <w:szCs w:val="21"/>
        </w:rPr>
      </w:pPr>
      <w:r>
        <w:rPr>
          <w:rFonts w:hint="eastAsia" w:ascii="Times New Roman" w:hAnsi="Times New Roman" w:eastAsia="宋体" w:cs="Times New Roman"/>
          <w:bCs/>
          <w:color w:val="FF0000"/>
          <w:szCs w:val="21"/>
          <w:lang w:val="en-US" w:eastAsia="zh-CN"/>
        </w:rPr>
        <w:t>4</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中文论文中括号为“（）”，英文论文中括号为“(</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”，英文论文标题实词首字母需大写。</w:t>
      </w:r>
    </w:p>
    <w:p w14:paraId="445D0EC1">
      <w:pPr>
        <w:ind w:firstLine="392" w:firstLineChars="200"/>
        <w:rPr>
          <w:rFonts w:ascii="Times New Roman" w:hAnsi="Times New Roman"/>
          <w:b/>
          <w:bCs/>
          <w:color w:val="FF0000"/>
          <w:szCs w:val="21"/>
        </w:rPr>
      </w:pPr>
      <w:r>
        <w:rPr>
          <w:rFonts w:hint="eastAsia" w:ascii="Times New Roman" w:hAnsi="Times New Roman"/>
          <w:b/>
          <w:bCs/>
          <w:color w:val="FF0000"/>
          <w:szCs w:val="21"/>
        </w:rPr>
        <w:t>不同类型文献引用范式如下：</w:t>
      </w:r>
    </w:p>
    <w:p w14:paraId="1B8CD370">
      <w:pPr>
        <w:spacing w:line="240" w:lineRule="atLeast"/>
        <w:ind w:firstLine="482"/>
        <w:rPr>
          <w:rFonts w:ascii="Times New Roman" w:hAnsi="Times New Roman" w:eastAsia="宋体"/>
          <w:b/>
          <w:bCs/>
          <w:sz w:val="18"/>
          <w:szCs w:val="18"/>
        </w:rPr>
      </w:pPr>
      <w:bookmarkStart w:id="7" w:name="_Toc12179"/>
      <w:bookmarkStart w:id="8" w:name="_Toc10640"/>
      <w:r>
        <w:rPr>
          <w:rFonts w:hint="eastAsia" w:ascii="Times New Roman" w:hAnsi="Times New Roman" w:eastAsia="宋体"/>
          <w:b/>
          <w:bCs/>
          <w:sz w:val="18"/>
          <w:szCs w:val="18"/>
        </w:rPr>
        <w:t>（一）</w:t>
      </w:r>
      <w:r>
        <w:rPr>
          <w:rFonts w:ascii="Times New Roman" w:hAnsi="Times New Roman" w:eastAsia="宋体"/>
          <w:b/>
          <w:bCs/>
          <w:sz w:val="18"/>
          <w:szCs w:val="18"/>
        </w:rPr>
        <w:t>期刊论文</w:t>
      </w:r>
      <w:bookmarkEnd w:id="7"/>
      <w:bookmarkEnd w:id="8"/>
    </w:p>
    <w:p w14:paraId="4C19E0CB">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w:t>
      </w:r>
      <w:r>
        <w:rPr>
          <w:rFonts w:ascii="Times New Roman" w:hAnsi="Times New Roman" w:eastAsia="宋体"/>
          <w:b/>
          <w:bCs/>
          <w:sz w:val="18"/>
          <w:szCs w:val="18"/>
        </w:rPr>
        <w:t>中文期刊论文</w:t>
      </w:r>
    </w:p>
    <w:p w14:paraId="6C4CF34F">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体例：作者姓名，年份：《论文题目》，《刊名》第××期，第××-××页。</w:t>
      </w:r>
    </w:p>
    <w:p w14:paraId="779F4836">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例：蔡昉、王美艳，</w:t>
      </w:r>
      <w:r>
        <w:rPr>
          <w:rFonts w:ascii="Times New Roman" w:hAnsi="Times New Roman" w:eastAsia="宋体"/>
          <w:sz w:val="18"/>
          <w:szCs w:val="18"/>
        </w:rPr>
        <w:t>200</w:t>
      </w:r>
      <w:r>
        <w:rPr>
          <w:rFonts w:hint="eastAsia" w:ascii="Times New Roman" w:hAnsi="Times New Roman" w:eastAsia="宋体"/>
          <w:sz w:val="18"/>
          <w:szCs w:val="18"/>
        </w:rPr>
        <w:t>7：《农村劳动力剩余及其相关事实的重新考察——一个反设事实法的应用》，《中国农村经济》第</w:t>
      </w:r>
      <w:r>
        <w:rPr>
          <w:rFonts w:ascii="Times New Roman" w:hAnsi="Times New Roman" w:eastAsia="宋体"/>
          <w:sz w:val="18"/>
          <w:szCs w:val="18"/>
        </w:rPr>
        <w:t>10</w:t>
      </w:r>
      <w:r>
        <w:rPr>
          <w:rFonts w:hint="eastAsia" w:ascii="Times New Roman" w:hAnsi="Times New Roman" w:eastAsia="宋体"/>
          <w:sz w:val="18"/>
          <w:szCs w:val="18"/>
        </w:rPr>
        <w:t>期，第</w:t>
      </w:r>
      <w:r>
        <w:rPr>
          <w:rFonts w:ascii="Times New Roman" w:hAnsi="Times New Roman" w:eastAsia="宋体"/>
          <w:sz w:val="18"/>
          <w:szCs w:val="18"/>
        </w:rPr>
        <w:t>4</w:t>
      </w:r>
      <w:r>
        <w:rPr>
          <w:rFonts w:hint="eastAsia" w:ascii="Times New Roman" w:hAnsi="Times New Roman" w:eastAsia="宋体" w:cs="宋体"/>
          <w:sz w:val="18"/>
          <w:szCs w:val="18"/>
        </w:rPr>
        <w:t>-</w:t>
      </w:r>
      <w:r>
        <w:rPr>
          <w:rFonts w:ascii="Times New Roman" w:hAnsi="Times New Roman" w:eastAsia="宋体"/>
          <w:sz w:val="18"/>
          <w:szCs w:val="18"/>
        </w:rPr>
        <w:t>12</w:t>
      </w:r>
      <w:r>
        <w:rPr>
          <w:rFonts w:hint="eastAsia" w:ascii="Times New Roman" w:hAnsi="Times New Roman" w:eastAsia="宋体"/>
          <w:sz w:val="18"/>
          <w:szCs w:val="18"/>
        </w:rPr>
        <w:t>页。</w:t>
      </w:r>
    </w:p>
    <w:p w14:paraId="3976E011">
      <w:pPr>
        <w:spacing w:line="240" w:lineRule="atLeast"/>
        <w:ind w:firstLine="482"/>
        <w:rPr>
          <w:rFonts w:ascii="Times New Roman" w:hAnsi="Times New Roman" w:eastAsia="宋体"/>
          <w:b/>
          <w:bCs/>
          <w:sz w:val="18"/>
          <w:szCs w:val="18"/>
        </w:rPr>
      </w:pPr>
      <w:r>
        <w:rPr>
          <w:rFonts w:ascii="Times New Roman" w:hAnsi="Times New Roman" w:eastAsia="宋体"/>
          <w:b/>
          <w:bCs/>
          <w:sz w:val="18"/>
          <w:szCs w:val="18"/>
        </w:rPr>
        <w:t>（2）英文期刊论文</w:t>
      </w:r>
    </w:p>
    <w:p w14:paraId="298332D9">
      <w:pPr>
        <w:spacing w:line="240" w:lineRule="atLeast"/>
        <w:ind w:firstLine="472"/>
        <w:rPr>
          <w:rFonts w:ascii="Times New Roman" w:hAnsi="Times New Roman" w:eastAsia="宋体"/>
          <w:spacing w:val="-2"/>
          <w:sz w:val="18"/>
          <w:szCs w:val="18"/>
        </w:rPr>
      </w:pPr>
      <w:r>
        <w:rPr>
          <w:rFonts w:hint="eastAsia" w:ascii="Times New Roman" w:hAnsi="Times New Roman" w:eastAsia="宋体"/>
          <w:spacing w:val="-2"/>
          <w:sz w:val="18"/>
          <w:szCs w:val="18"/>
        </w:rPr>
        <w:t xml:space="preserve">体例：作者姓名, 年份, “论文题目”, </w:t>
      </w:r>
      <w:r>
        <w:rPr>
          <w:rFonts w:hint="eastAsia" w:ascii="Times New Roman" w:hAnsi="Times New Roman" w:eastAsia="宋体"/>
          <w:i/>
          <w:spacing w:val="-2"/>
          <w:sz w:val="18"/>
          <w:szCs w:val="18"/>
        </w:rPr>
        <w:t>刊名</w:t>
      </w:r>
      <w:r>
        <w:rPr>
          <w:rFonts w:hint="eastAsia" w:ascii="Times New Roman" w:hAnsi="Times New Roman" w:eastAsia="宋体"/>
          <w:spacing w:val="-2"/>
          <w:sz w:val="18"/>
          <w:szCs w:val="18"/>
        </w:rPr>
        <w:t>, 卷(期): ××</w:t>
      </w:r>
      <w:r>
        <w:rPr>
          <w:rFonts w:ascii="Times New Roman" w:hAnsi="Times New Roman" w:eastAsia="宋体"/>
          <w:spacing w:val="-2"/>
          <w:sz w:val="18"/>
          <w:szCs w:val="18"/>
        </w:rPr>
        <w:t>-</w:t>
      </w:r>
      <w:r>
        <w:rPr>
          <w:rFonts w:hint="eastAsia" w:ascii="Times New Roman" w:hAnsi="Times New Roman" w:eastAsia="宋体"/>
          <w:spacing w:val="-2"/>
          <w:sz w:val="18"/>
          <w:szCs w:val="18"/>
        </w:rPr>
        <w:t xml:space="preserve">××. </w:t>
      </w:r>
    </w:p>
    <w:p w14:paraId="0C24E3ED">
      <w:pPr>
        <w:spacing w:line="240" w:lineRule="atLeast"/>
        <w:ind w:firstLine="482"/>
        <w:rPr>
          <w:rFonts w:hint="eastAsia" w:ascii="Times New Roman" w:hAnsi="Times New Roman" w:eastAsia="宋体"/>
          <w:color w:val="1D41D5"/>
          <w:sz w:val="18"/>
          <w:szCs w:val="18"/>
        </w:rPr>
      </w:pPr>
      <w:r>
        <w:rPr>
          <w:rFonts w:hint="eastAsia" w:ascii="Times New Roman" w:hAnsi="Times New Roman" w:eastAsia="宋体"/>
          <w:b/>
          <w:bCs/>
          <w:sz w:val="18"/>
          <w:szCs w:val="18"/>
          <w:u w:val="single"/>
        </w:rPr>
        <w:t>注意事项</w:t>
      </w:r>
      <w:r>
        <w:rPr>
          <w:rFonts w:hint="eastAsia" w:ascii="Times New Roman" w:hAnsi="Times New Roman" w:eastAsia="宋体"/>
          <w:b/>
          <w:bCs/>
          <w:sz w:val="18"/>
          <w:szCs w:val="18"/>
        </w:rPr>
        <w:t>：</w:t>
      </w:r>
      <w:r>
        <w:rPr>
          <w:rFonts w:hint="eastAsia" w:ascii="Times New Roman" w:hAnsi="Times New Roman" w:eastAsia="宋体"/>
          <w:sz w:val="18"/>
          <w:szCs w:val="18"/>
        </w:rPr>
        <w:t>英文文献第一作者的姓在前、名在后（名用缩写，并用实心点标明），姓、名之间用逗号隔开；其余作者的名、姓顺序不变，名在前，姓在后，中间不用标点符号隔开。</w:t>
      </w:r>
      <w:r>
        <w:rPr>
          <w:rFonts w:hint="eastAsia"/>
          <w:b w:val="0"/>
          <w:bCs w:val="0"/>
          <w:color w:val="0000FF"/>
          <w:sz w:val="18"/>
          <w:szCs w:val="18"/>
          <w:lang w:val="en-US" w:eastAsia="zh-CN"/>
        </w:rPr>
        <w:t>只有卷号没有期号的，只写卷号；只有期号没有卷号的，加括号写期号。</w:t>
      </w:r>
    </w:p>
    <w:p w14:paraId="2F73CAB0">
      <w:pPr>
        <w:spacing w:line="240" w:lineRule="atLeast"/>
        <w:ind w:firstLine="480"/>
        <w:rPr>
          <w:rFonts w:ascii="Times New Roman" w:hAnsi="Times New Roman" w:eastAsia="宋体"/>
          <w:kern w:val="0"/>
          <w:sz w:val="18"/>
          <w:szCs w:val="18"/>
        </w:rPr>
      </w:pPr>
      <w:r>
        <w:rPr>
          <w:rFonts w:hint="eastAsia" w:ascii="Times New Roman" w:hAnsi="Times New Roman" w:eastAsia="宋体"/>
          <w:sz w:val="18"/>
          <w:szCs w:val="18"/>
        </w:rPr>
        <w:t>例：</w:t>
      </w:r>
      <w:r>
        <w:rPr>
          <w:rFonts w:ascii="Times New Roman" w:hAnsi="Times New Roman" w:eastAsia="宋体"/>
          <w:kern w:val="0"/>
          <w:sz w:val="18"/>
          <w:szCs w:val="18"/>
        </w:rPr>
        <w:t>Aaberge, R., M. Mogstad, and V. Peragine</w:t>
      </w:r>
      <w:r>
        <w:rPr>
          <w:rFonts w:hint="eastAsia" w:ascii="Times New Roman" w:hAnsi="Times New Roman" w:eastAsia="宋体"/>
          <w:kern w:val="0"/>
          <w:sz w:val="18"/>
          <w:szCs w:val="18"/>
        </w:rPr>
        <w:t xml:space="preserve">, </w:t>
      </w:r>
      <w:r>
        <w:rPr>
          <w:rFonts w:ascii="Times New Roman" w:hAnsi="Times New Roman" w:eastAsia="宋体"/>
          <w:kern w:val="0"/>
          <w:sz w:val="18"/>
          <w:szCs w:val="18"/>
        </w:rPr>
        <w:t xml:space="preserve">2011, “Measuring Long-term Inequality of Opportunity”, </w:t>
      </w:r>
      <w:r>
        <w:rPr>
          <w:rFonts w:ascii="Times New Roman" w:hAnsi="Times New Roman" w:eastAsia="宋体"/>
          <w:i/>
          <w:kern w:val="0"/>
          <w:sz w:val="18"/>
          <w:szCs w:val="18"/>
        </w:rPr>
        <w:t>Journal of Public Economics</w:t>
      </w:r>
      <w:r>
        <w:rPr>
          <w:rFonts w:ascii="Times New Roman" w:hAnsi="Times New Roman" w:eastAsia="宋体"/>
          <w:kern w:val="0"/>
          <w:sz w:val="18"/>
          <w:szCs w:val="18"/>
        </w:rPr>
        <w:t>, 95(3-4): 193-204.</w:t>
      </w:r>
    </w:p>
    <w:p w14:paraId="2EFAC39D">
      <w:pPr>
        <w:spacing w:line="240" w:lineRule="atLeast"/>
        <w:ind w:firstLine="830" w:firstLineChars="500"/>
        <w:rPr>
          <w:rFonts w:hint="default" w:ascii="Times New Roman" w:hAnsi="Times New Roman" w:eastAsia="宋体" w:cs="Times New Roman"/>
          <w:color w:val="000000"/>
          <w:sz w:val="18"/>
          <w:szCs w:val="22"/>
        </w:rPr>
      </w:pPr>
      <w:r>
        <w:rPr>
          <w:rFonts w:hint="default" w:ascii="Times New Roman" w:hAnsi="Times New Roman" w:eastAsia="宋体" w:cs="Times New Roman"/>
          <w:color w:val="000000"/>
          <w:sz w:val="18"/>
          <w:szCs w:val="22"/>
        </w:rPr>
        <w:t xml:space="preserve">Hagedoorn, J., 2006, “Understanding the Cross-Level Embeddedness of Interfirm Partnership Formation”, </w:t>
      </w:r>
      <w:r>
        <w:rPr>
          <w:rFonts w:hint="default" w:ascii="Times New Roman" w:hAnsi="Times New Roman" w:eastAsia="宋体" w:cs="Times New Roman"/>
          <w:i/>
          <w:iCs/>
          <w:color w:val="000000"/>
          <w:sz w:val="18"/>
          <w:szCs w:val="22"/>
        </w:rPr>
        <w:t>Academy of Management Review</w:t>
      </w:r>
      <w:r>
        <w:rPr>
          <w:rFonts w:hint="default" w:ascii="Times New Roman" w:hAnsi="Times New Roman" w:eastAsia="宋体" w:cs="Times New Roman"/>
          <w:color w:val="000000"/>
          <w:sz w:val="18"/>
          <w:szCs w:val="22"/>
        </w:rPr>
        <w:t>, 31: 670-680.</w:t>
      </w:r>
    </w:p>
    <w:p w14:paraId="6B7131A9">
      <w:pPr>
        <w:spacing w:line="240" w:lineRule="atLeast"/>
        <w:ind w:firstLine="480"/>
        <w:rPr>
          <w:rFonts w:ascii="Times New Roman" w:hAnsi="Times New Roman" w:eastAsia="宋体"/>
          <w:kern w:val="0"/>
          <w:sz w:val="18"/>
          <w:szCs w:val="18"/>
        </w:rPr>
      </w:pPr>
    </w:p>
    <w:p w14:paraId="343BD054">
      <w:pPr>
        <w:spacing w:line="240" w:lineRule="atLeast"/>
        <w:ind w:firstLine="482"/>
        <w:rPr>
          <w:rFonts w:ascii="Times New Roman" w:hAnsi="Times New Roman" w:eastAsia="宋体"/>
          <w:b/>
          <w:bCs/>
          <w:sz w:val="18"/>
          <w:szCs w:val="18"/>
        </w:rPr>
      </w:pPr>
      <w:bookmarkStart w:id="9" w:name="_Toc11405"/>
      <w:bookmarkStart w:id="10" w:name="_Toc22550"/>
      <w:r>
        <w:rPr>
          <w:rFonts w:hint="eastAsia" w:ascii="Times New Roman" w:hAnsi="Times New Roman" w:eastAsia="宋体"/>
          <w:b/>
          <w:bCs/>
          <w:sz w:val="18"/>
          <w:szCs w:val="18"/>
        </w:rPr>
        <w:t>（二）</w:t>
      </w:r>
      <w:r>
        <w:rPr>
          <w:rFonts w:ascii="Times New Roman" w:hAnsi="Times New Roman" w:eastAsia="宋体"/>
          <w:b/>
          <w:bCs/>
          <w:sz w:val="18"/>
          <w:szCs w:val="18"/>
        </w:rPr>
        <w:t>著作</w:t>
      </w:r>
      <w:bookmarkEnd w:id="9"/>
      <w:bookmarkEnd w:id="10"/>
    </w:p>
    <w:p w14:paraId="4F31C2C5">
      <w:pPr>
        <w:spacing w:line="240" w:lineRule="atLeast"/>
        <w:ind w:firstLine="482"/>
        <w:rPr>
          <w:rFonts w:ascii="Times New Roman" w:hAnsi="Times New Roman" w:eastAsia="宋体"/>
          <w:b/>
          <w:bCs/>
          <w:sz w:val="18"/>
          <w:szCs w:val="18"/>
        </w:rPr>
      </w:pPr>
      <w:r>
        <w:rPr>
          <w:rFonts w:ascii="Times New Roman" w:hAnsi="Times New Roman" w:eastAsia="宋体"/>
          <w:b/>
          <w:bCs/>
          <w:sz w:val="18"/>
          <w:szCs w:val="18"/>
        </w:rPr>
        <w:t>（1）中文著作</w:t>
      </w:r>
    </w:p>
    <w:p w14:paraId="628CDD26">
      <w:pPr>
        <w:spacing w:line="240" w:lineRule="atLeast"/>
        <w:ind w:firstLine="480"/>
        <w:rPr>
          <w:rFonts w:ascii="Times New Roman" w:hAnsi="Times New Roman" w:eastAsia="宋体"/>
          <w:kern w:val="0"/>
          <w:sz w:val="18"/>
          <w:szCs w:val="18"/>
        </w:rPr>
      </w:pPr>
      <w:r>
        <w:rPr>
          <w:rFonts w:hint="eastAsia" w:ascii="Times New Roman" w:hAnsi="Times New Roman" w:eastAsia="宋体"/>
          <w:kern w:val="0"/>
          <w:sz w:val="18"/>
          <w:szCs w:val="18"/>
        </w:rPr>
        <w:t>体例：作者姓名，年份：《著作题目》，出版地：出版社</w:t>
      </w:r>
      <w:r>
        <w:rPr>
          <w:rFonts w:hint="eastAsia" w:ascii="Times New Roman" w:hAnsi="Times New Roman" w:eastAsia="宋体"/>
          <w:sz w:val="18"/>
          <w:szCs w:val="18"/>
        </w:rPr>
        <w:t>，页码（第××页或第××-××页）</w:t>
      </w:r>
      <w:r>
        <w:rPr>
          <w:rFonts w:hint="eastAsia" w:ascii="Times New Roman" w:hAnsi="Times New Roman" w:eastAsia="宋体"/>
          <w:kern w:val="0"/>
          <w:sz w:val="18"/>
          <w:szCs w:val="18"/>
        </w:rPr>
        <w:t>。</w:t>
      </w:r>
    </w:p>
    <w:p w14:paraId="2E2EDE3D">
      <w:pPr>
        <w:spacing w:line="240" w:lineRule="atLeast"/>
        <w:ind w:firstLine="456"/>
        <w:rPr>
          <w:rFonts w:hint="eastAsia" w:ascii="Times New Roman" w:hAnsi="Times New Roman" w:eastAsia="宋体"/>
          <w:spacing w:val="-6"/>
          <w:kern w:val="0"/>
          <w:sz w:val="18"/>
          <w:szCs w:val="18"/>
        </w:rPr>
      </w:pPr>
      <w:r>
        <w:rPr>
          <w:rFonts w:hint="eastAsia" w:ascii="Times New Roman" w:hAnsi="Times New Roman" w:eastAsia="宋体"/>
          <w:spacing w:val="-6"/>
          <w:kern w:val="0"/>
          <w:sz w:val="18"/>
          <w:szCs w:val="18"/>
        </w:rPr>
        <w:t>例：蔡昉、都阳、王美艳，2003：《劳动力流动的政治经济学》，上海：上海人民出版社，第</w:t>
      </w:r>
      <w:r>
        <w:rPr>
          <w:rFonts w:ascii="Times New Roman" w:hAnsi="Times New Roman" w:eastAsia="宋体"/>
          <w:sz w:val="18"/>
          <w:szCs w:val="18"/>
        </w:rPr>
        <w:t>23</w:t>
      </w:r>
      <w:r>
        <w:rPr>
          <w:rFonts w:hint="eastAsia" w:ascii="Times New Roman" w:hAnsi="Times New Roman" w:eastAsia="宋体" w:cs="宋体"/>
          <w:sz w:val="18"/>
          <w:szCs w:val="18"/>
        </w:rPr>
        <w:t>-</w:t>
      </w:r>
      <w:r>
        <w:rPr>
          <w:rFonts w:ascii="Times New Roman" w:hAnsi="Times New Roman" w:eastAsia="宋体"/>
          <w:sz w:val="18"/>
          <w:szCs w:val="18"/>
        </w:rPr>
        <w:t>27</w:t>
      </w:r>
      <w:r>
        <w:rPr>
          <w:rFonts w:hint="eastAsia" w:ascii="Times New Roman" w:hAnsi="Times New Roman" w:eastAsia="宋体"/>
          <w:sz w:val="18"/>
          <w:szCs w:val="18"/>
        </w:rPr>
        <w:t>页</w:t>
      </w:r>
      <w:r>
        <w:rPr>
          <w:rFonts w:hint="eastAsia" w:ascii="Times New Roman" w:hAnsi="Times New Roman" w:eastAsia="宋体"/>
          <w:spacing w:val="-6"/>
          <w:kern w:val="0"/>
          <w:sz w:val="18"/>
          <w:szCs w:val="18"/>
        </w:rPr>
        <w:t>。</w:t>
      </w:r>
    </w:p>
    <w:p w14:paraId="6DC959B6">
      <w:pPr>
        <w:keepNext w:val="0"/>
        <w:keepLines w:val="0"/>
        <w:pageBreakBefore w:val="0"/>
        <w:widowControl w:val="0"/>
        <w:kinsoku/>
        <w:wordWrap w:val="0"/>
        <w:overflowPunct/>
        <w:topLinePunct w:val="0"/>
        <w:autoSpaceDE/>
        <w:autoSpaceDN/>
        <w:bidi w:val="0"/>
        <w:adjustRightInd/>
        <w:snapToGrid/>
        <w:spacing w:line="240" w:lineRule="atLeast"/>
        <w:ind w:firstLine="664" w:firstLineChars="400"/>
        <w:jc w:val="both"/>
        <w:textAlignment w:val="auto"/>
        <w:rPr>
          <w:rFonts w:hint="eastAsia"/>
        </w:rPr>
      </w:pPr>
      <w:r>
        <w:rPr>
          <w:rFonts w:hint="eastAsia" w:ascii="Times New Roman" w:hAnsi="Times New Roman" w:eastAsia="宋体" w:cs="Times New Roman"/>
          <w:color w:val="auto"/>
          <w:sz w:val="18"/>
          <w:szCs w:val="20"/>
          <w:highlight w:val="none"/>
          <w:lang w:val="en-US" w:eastAsia="zh-CN"/>
          <w14:ligatures w14:val="standardContextual"/>
        </w:rPr>
        <w:t>周黎安，2017：《转型中的地方政府：官员激励与治理》，上海：格致出版社</w:t>
      </w:r>
      <w:r>
        <w:rPr>
          <w:rFonts w:hint="eastAsia" w:cs="Times New Roman"/>
          <w:color w:val="auto"/>
          <w:sz w:val="18"/>
          <w:szCs w:val="20"/>
          <w:highlight w:val="none"/>
          <w:lang w:val="en-US" w:eastAsia="zh-CN"/>
          <w14:ligatures w14:val="standardContextual"/>
        </w:rPr>
        <w:t>、上海人民出版社，</w:t>
      </w:r>
      <w:r>
        <w:rPr>
          <w:rFonts w:hint="eastAsia" w:ascii="Times New Roman" w:hAnsi="Times New Roman" w:eastAsia="宋体" w:cs="Times New Roman"/>
          <w:color w:val="auto"/>
          <w:sz w:val="18"/>
          <w:szCs w:val="20"/>
          <w:highlight w:val="none"/>
          <w:lang w:val="en-US" w:eastAsia="zh-CN"/>
          <w14:ligatures w14:val="standardContextual"/>
        </w:rPr>
        <w:t>第3-17页。</w:t>
      </w:r>
    </w:p>
    <w:p w14:paraId="4EB8120D">
      <w:pPr>
        <w:spacing w:line="240" w:lineRule="atLeast"/>
        <w:ind w:firstLine="482"/>
        <w:rPr>
          <w:rFonts w:hint="default"/>
          <w:b w:val="0"/>
          <w:bCs w:val="0"/>
          <w:color w:val="0000FF"/>
          <w:sz w:val="18"/>
          <w:szCs w:val="18"/>
          <w:lang w:val="en-US" w:eastAsia="zh-CN"/>
        </w:rPr>
      </w:pPr>
      <w:r>
        <w:rPr>
          <w:rFonts w:hint="eastAsia"/>
          <w:b w:val="0"/>
          <w:bCs w:val="0"/>
          <w:color w:val="0000FF"/>
          <w:sz w:val="18"/>
          <w:szCs w:val="18"/>
          <w:lang w:val="en-US" w:eastAsia="zh-CN"/>
        </w:rPr>
        <w:t>（当版权页上有多个出版社时，均列出，出版社之间用顿号间隔）</w:t>
      </w:r>
    </w:p>
    <w:p w14:paraId="4BBF876E">
      <w:pPr>
        <w:spacing w:line="240" w:lineRule="atLeast"/>
        <w:ind w:firstLine="482"/>
        <w:rPr>
          <w:rFonts w:ascii="Times New Roman" w:hAnsi="Times New Roman" w:eastAsia="宋体"/>
          <w:b/>
          <w:bCs/>
          <w:sz w:val="18"/>
          <w:szCs w:val="18"/>
        </w:rPr>
      </w:pPr>
    </w:p>
    <w:p w14:paraId="23C83AD1">
      <w:pPr>
        <w:spacing w:line="240" w:lineRule="atLeast"/>
        <w:ind w:firstLine="482"/>
        <w:rPr>
          <w:rFonts w:ascii="Times New Roman" w:hAnsi="Times New Roman" w:eastAsia="宋体"/>
          <w:b/>
          <w:bCs/>
          <w:sz w:val="18"/>
          <w:szCs w:val="18"/>
        </w:rPr>
      </w:pPr>
      <w:r>
        <w:rPr>
          <w:rFonts w:ascii="Times New Roman" w:hAnsi="Times New Roman" w:eastAsia="宋体"/>
          <w:b/>
          <w:bCs/>
          <w:sz w:val="18"/>
          <w:szCs w:val="18"/>
        </w:rPr>
        <w:t>（2）英文著作</w:t>
      </w:r>
    </w:p>
    <w:p w14:paraId="73657660">
      <w:pPr>
        <w:spacing w:line="240" w:lineRule="atLeast"/>
        <w:ind w:firstLine="480"/>
        <w:rPr>
          <w:rFonts w:ascii="Times New Roman" w:hAnsi="Times New Roman" w:eastAsia="宋体"/>
          <w:sz w:val="18"/>
          <w:szCs w:val="18"/>
        </w:rPr>
      </w:pPr>
      <w:r>
        <w:rPr>
          <w:rFonts w:hint="eastAsia" w:ascii="Times New Roman" w:hAnsi="Times New Roman" w:eastAsia="宋体"/>
          <w:kern w:val="0"/>
          <w:sz w:val="18"/>
          <w:szCs w:val="18"/>
        </w:rPr>
        <w:t>体例：</w:t>
      </w:r>
      <w:r>
        <w:rPr>
          <w:rFonts w:hint="eastAsia" w:ascii="Times New Roman" w:hAnsi="Times New Roman" w:eastAsia="宋体"/>
          <w:sz w:val="18"/>
          <w:szCs w:val="18"/>
        </w:rPr>
        <w:t xml:space="preserve">作者姓名, 年份, </w:t>
      </w:r>
      <w:r>
        <w:rPr>
          <w:rFonts w:hint="eastAsia" w:ascii="Times New Roman" w:hAnsi="Times New Roman" w:eastAsia="宋体"/>
          <w:i/>
          <w:sz w:val="18"/>
          <w:szCs w:val="18"/>
        </w:rPr>
        <w:t>书名</w:t>
      </w:r>
      <w:r>
        <w:rPr>
          <w:rFonts w:hint="eastAsia" w:ascii="Times New Roman" w:hAnsi="Times New Roman" w:eastAsia="宋体"/>
          <w:sz w:val="18"/>
          <w:szCs w:val="18"/>
        </w:rPr>
        <w:t>, 出版地: 出版社, 页码（××或××-××）。</w:t>
      </w:r>
    </w:p>
    <w:p w14:paraId="27AC6FEE">
      <w:pPr>
        <w:spacing w:line="240" w:lineRule="atLeast"/>
        <w:ind w:firstLine="480"/>
        <w:rPr>
          <w:rFonts w:ascii="Times New Roman" w:hAnsi="Times New Roman" w:eastAsia="宋体"/>
          <w:kern w:val="0"/>
          <w:sz w:val="18"/>
          <w:szCs w:val="18"/>
        </w:rPr>
      </w:pPr>
      <w:r>
        <w:rPr>
          <w:rFonts w:hint="eastAsia" w:ascii="Times New Roman" w:hAnsi="Times New Roman" w:eastAsia="宋体"/>
          <w:sz w:val="18"/>
          <w:szCs w:val="18"/>
        </w:rPr>
        <w:t>例：</w:t>
      </w:r>
      <w:r>
        <w:rPr>
          <w:rFonts w:ascii="Times New Roman" w:hAnsi="Times New Roman" w:eastAsia="宋体"/>
          <w:kern w:val="0"/>
          <w:sz w:val="18"/>
          <w:szCs w:val="18"/>
        </w:rPr>
        <w:t xml:space="preserve">Feenstra, R. C., 2004, </w:t>
      </w:r>
      <w:r>
        <w:rPr>
          <w:rFonts w:ascii="Times New Roman" w:hAnsi="Times New Roman" w:eastAsia="宋体"/>
          <w:i/>
          <w:kern w:val="0"/>
          <w:sz w:val="18"/>
          <w:szCs w:val="18"/>
        </w:rPr>
        <w:t>Advanced International Trade: Theory and Evidence</w:t>
      </w:r>
      <w:r>
        <w:rPr>
          <w:rFonts w:ascii="Times New Roman" w:hAnsi="Times New Roman" w:eastAsia="宋体"/>
          <w:kern w:val="0"/>
          <w:sz w:val="18"/>
          <w:szCs w:val="18"/>
        </w:rPr>
        <w:t>, Princeton</w:t>
      </w:r>
      <w:r>
        <w:rPr>
          <w:rFonts w:hint="eastAsia" w:ascii="Times New Roman" w:hAnsi="Times New Roman" w:eastAsia="宋体"/>
          <w:kern w:val="0"/>
          <w:sz w:val="18"/>
          <w:szCs w:val="18"/>
        </w:rPr>
        <w:t>, N.</w:t>
      </w:r>
      <w:r>
        <w:rPr>
          <w:rFonts w:ascii="Times New Roman" w:hAnsi="Times New Roman" w:eastAsia="宋体"/>
          <w:kern w:val="0"/>
          <w:sz w:val="18"/>
          <w:szCs w:val="18"/>
        </w:rPr>
        <w:t>J.: Princeton</w:t>
      </w:r>
      <w:r>
        <w:rPr>
          <w:rFonts w:hint="eastAsia" w:ascii="Times New Roman" w:hAnsi="Times New Roman" w:eastAsia="宋体"/>
          <w:kern w:val="0"/>
          <w:sz w:val="18"/>
          <w:szCs w:val="18"/>
        </w:rPr>
        <w:t xml:space="preserve"> </w:t>
      </w:r>
      <w:r>
        <w:rPr>
          <w:rFonts w:ascii="Times New Roman" w:hAnsi="Times New Roman" w:eastAsia="宋体"/>
          <w:kern w:val="0"/>
          <w:sz w:val="18"/>
          <w:szCs w:val="18"/>
        </w:rPr>
        <w:t>University Press</w:t>
      </w:r>
      <w:r>
        <w:rPr>
          <w:rFonts w:hint="eastAsia" w:ascii="Times New Roman" w:hAnsi="Times New Roman" w:eastAsia="宋体"/>
          <w:kern w:val="0"/>
          <w:sz w:val="18"/>
          <w:szCs w:val="18"/>
        </w:rPr>
        <w:t>, 31</w:t>
      </w:r>
      <w:r>
        <w:rPr>
          <w:rFonts w:ascii="Times New Roman" w:hAnsi="Times New Roman" w:eastAsia="宋体"/>
          <w:kern w:val="0"/>
          <w:sz w:val="18"/>
          <w:szCs w:val="18"/>
        </w:rPr>
        <w:t>-</w:t>
      </w:r>
      <w:r>
        <w:rPr>
          <w:rFonts w:hint="eastAsia" w:ascii="Times New Roman" w:hAnsi="Times New Roman" w:eastAsia="宋体"/>
          <w:kern w:val="0"/>
          <w:sz w:val="18"/>
          <w:szCs w:val="18"/>
        </w:rPr>
        <w:t>45</w:t>
      </w:r>
      <w:r>
        <w:rPr>
          <w:rFonts w:ascii="Times New Roman" w:hAnsi="Times New Roman" w:eastAsia="宋体"/>
          <w:kern w:val="0"/>
          <w:sz w:val="18"/>
          <w:szCs w:val="18"/>
        </w:rPr>
        <w:t>.</w:t>
      </w:r>
    </w:p>
    <w:p w14:paraId="4A2AF154">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（3）</w:t>
      </w:r>
      <w:r>
        <w:rPr>
          <w:rFonts w:ascii="Times New Roman" w:hAnsi="Times New Roman" w:eastAsia="宋体"/>
          <w:b/>
          <w:bCs/>
          <w:sz w:val="18"/>
          <w:szCs w:val="18"/>
        </w:rPr>
        <w:t>译文著作</w:t>
      </w:r>
    </w:p>
    <w:p w14:paraId="540912E6">
      <w:pPr>
        <w:spacing w:line="240" w:lineRule="atLeast"/>
        <w:ind w:firstLine="480"/>
        <w:rPr>
          <w:rFonts w:ascii="Times New Roman" w:hAnsi="Times New Roman" w:eastAsia="宋体"/>
          <w:kern w:val="0"/>
          <w:sz w:val="18"/>
          <w:szCs w:val="18"/>
        </w:rPr>
      </w:pPr>
      <w:r>
        <w:rPr>
          <w:rFonts w:hint="eastAsia" w:ascii="Times New Roman" w:hAnsi="Times New Roman" w:eastAsia="宋体"/>
          <w:kern w:val="0"/>
          <w:sz w:val="18"/>
          <w:szCs w:val="18"/>
        </w:rPr>
        <w:t>体例：作者姓名，年份：《著作题目》，</w:t>
      </w:r>
      <w:r>
        <w:rPr>
          <w:rFonts w:hint="eastAsia" w:ascii="Times New Roman" w:hAnsi="Times New Roman" w:eastAsia="宋体"/>
          <w:sz w:val="18"/>
          <w:szCs w:val="18"/>
        </w:rPr>
        <w:t>××译，</w:t>
      </w:r>
      <w:r>
        <w:rPr>
          <w:rFonts w:hint="eastAsia" w:ascii="Times New Roman" w:hAnsi="Times New Roman" w:eastAsia="宋体"/>
          <w:kern w:val="0"/>
          <w:sz w:val="18"/>
          <w:szCs w:val="18"/>
        </w:rPr>
        <w:t>出版地：出版社，页码</w:t>
      </w:r>
      <w:r>
        <w:rPr>
          <w:rFonts w:hint="eastAsia" w:ascii="Times New Roman" w:hAnsi="Times New Roman" w:eastAsia="宋体"/>
          <w:sz w:val="18"/>
          <w:szCs w:val="18"/>
        </w:rPr>
        <w:t>（第××页或第××-××页）</w:t>
      </w:r>
      <w:r>
        <w:rPr>
          <w:rFonts w:hint="eastAsia" w:ascii="Times New Roman" w:hAnsi="Times New Roman" w:eastAsia="宋体"/>
          <w:kern w:val="0"/>
          <w:sz w:val="18"/>
          <w:szCs w:val="18"/>
        </w:rPr>
        <w:t>。</w:t>
      </w:r>
    </w:p>
    <w:p w14:paraId="0645C260">
      <w:pPr>
        <w:spacing w:line="240" w:lineRule="atLeast"/>
        <w:ind w:firstLine="482"/>
        <w:rPr>
          <w:rFonts w:ascii="Times New Roman" w:hAnsi="Times New Roman" w:eastAsia="宋体"/>
          <w:kern w:val="0"/>
          <w:sz w:val="18"/>
          <w:szCs w:val="18"/>
        </w:rPr>
      </w:pPr>
      <w:r>
        <w:rPr>
          <w:rFonts w:hint="eastAsia" w:ascii="Times New Roman" w:hAnsi="Times New Roman" w:eastAsia="宋体"/>
          <w:b/>
          <w:bCs/>
          <w:sz w:val="18"/>
          <w:szCs w:val="18"/>
          <w:u w:val="single"/>
        </w:rPr>
        <w:t>注意事项：</w:t>
      </w:r>
      <w:r>
        <w:rPr>
          <w:rFonts w:hint="eastAsia"/>
          <w:b w:val="0"/>
          <w:bCs w:val="0"/>
          <w:color w:val="0000FF"/>
          <w:sz w:val="18"/>
          <w:szCs w:val="18"/>
          <w:lang w:val="en-US" w:eastAsia="zh-CN"/>
        </w:rPr>
        <w:t>作者姓名直接写中文译名中的</w:t>
      </w:r>
      <w:r>
        <w:rPr>
          <w:rFonts w:hint="eastAsia"/>
          <w:b w:val="0"/>
          <w:bCs w:val="0"/>
          <w:color w:val="0000FF"/>
          <w:sz w:val="18"/>
          <w:szCs w:val="18"/>
          <w:highlight w:val="yellow"/>
          <w:lang w:val="en-US" w:eastAsia="zh-CN"/>
        </w:rPr>
        <w:t>姓</w:t>
      </w:r>
      <w:r>
        <w:rPr>
          <w:rFonts w:hint="eastAsia"/>
          <w:b w:val="0"/>
          <w:bCs w:val="0"/>
          <w:color w:val="0000FF"/>
          <w:sz w:val="18"/>
          <w:szCs w:val="18"/>
          <w:lang w:val="en-US" w:eastAsia="zh-CN"/>
        </w:rPr>
        <w:t>（同版权页一致）</w:t>
      </w:r>
      <w:r>
        <w:rPr>
          <w:rFonts w:hint="eastAsia" w:ascii="Times New Roman" w:hAnsi="Times New Roman" w:eastAsia="宋体"/>
          <w:kern w:val="0"/>
          <w:sz w:val="18"/>
          <w:szCs w:val="18"/>
        </w:rPr>
        <w:t>，出版年份仅标注所引文献中译本的出版年份。</w:t>
      </w:r>
    </w:p>
    <w:p w14:paraId="2067BE14">
      <w:pPr>
        <w:spacing w:line="240" w:lineRule="atLeast"/>
        <w:ind w:firstLine="456"/>
        <w:rPr>
          <w:rFonts w:ascii="Times New Roman" w:hAnsi="Times New Roman" w:eastAsia="宋体"/>
          <w:spacing w:val="-6"/>
          <w:sz w:val="18"/>
          <w:szCs w:val="18"/>
          <w:shd w:val="clear" w:color="auto" w:fill="FFFFFF"/>
        </w:rPr>
      </w:pPr>
      <w:r>
        <w:rPr>
          <w:rFonts w:hint="eastAsia" w:ascii="Times New Roman" w:hAnsi="Times New Roman" w:eastAsia="宋体"/>
          <w:spacing w:val="-6"/>
          <w:kern w:val="0"/>
          <w:sz w:val="18"/>
          <w:szCs w:val="18"/>
        </w:rPr>
        <w:t>例：</w:t>
      </w:r>
      <w:r>
        <w:rPr>
          <w:rFonts w:hint="eastAsia" w:ascii="Times New Roman" w:hAnsi="Times New Roman" w:eastAsia="宋体"/>
          <w:spacing w:val="-6"/>
          <w:sz w:val="18"/>
          <w:szCs w:val="18"/>
          <w:shd w:val="clear" w:color="auto" w:fill="FFFFFF"/>
        </w:rPr>
        <w:t>斯密，</w:t>
      </w:r>
      <w:r>
        <w:rPr>
          <w:rFonts w:ascii="Times New Roman" w:hAnsi="Times New Roman" w:eastAsia="宋体"/>
          <w:spacing w:val="-6"/>
          <w:sz w:val="18"/>
          <w:szCs w:val="18"/>
          <w:shd w:val="clear" w:color="auto" w:fill="FFFFFF"/>
        </w:rPr>
        <w:t>2011</w:t>
      </w:r>
      <w:r>
        <w:rPr>
          <w:rFonts w:hint="eastAsia" w:ascii="Times New Roman" w:hAnsi="Times New Roman" w:eastAsia="宋体"/>
          <w:spacing w:val="-6"/>
          <w:sz w:val="18"/>
          <w:szCs w:val="18"/>
          <w:shd w:val="clear" w:color="auto" w:fill="FFFFFF"/>
        </w:rPr>
        <w:t>：《国富论》，郭大力、王亚南译，南京：译林出版社，第</w:t>
      </w:r>
      <w:r>
        <w:rPr>
          <w:rFonts w:ascii="Times New Roman" w:hAnsi="Times New Roman" w:eastAsia="宋体"/>
          <w:spacing w:val="-6"/>
          <w:sz w:val="18"/>
          <w:szCs w:val="18"/>
          <w:shd w:val="clear" w:color="auto" w:fill="FFFFFF"/>
        </w:rPr>
        <w:t>37</w:t>
      </w:r>
      <w:r>
        <w:rPr>
          <w:rFonts w:hint="eastAsia" w:ascii="Times New Roman" w:hAnsi="Times New Roman" w:eastAsia="宋体"/>
          <w:spacing w:val="-6"/>
          <w:sz w:val="18"/>
          <w:szCs w:val="18"/>
          <w:shd w:val="clear" w:color="auto" w:fill="FFFFFF"/>
        </w:rPr>
        <w:t>-</w:t>
      </w:r>
      <w:r>
        <w:rPr>
          <w:rFonts w:ascii="Times New Roman" w:hAnsi="Times New Roman" w:eastAsia="宋体"/>
          <w:spacing w:val="-6"/>
          <w:sz w:val="18"/>
          <w:szCs w:val="18"/>
          <w:shd w:val="clear" w:color="auto" w:fill="FFFFFF"/>
        </w:rPr>
        <w:t>42</w:t>
      </w:r>
      <w:r>
        <w:rPr>
          <w:rFonts w:hint="eastAsia" w:ascii="Times New Roman" w:hAnsi="Times New Roman" w:eastAsia="宋体"/>
          <w:spacing w:val="-6"/>
          <w:sz w:val="18"/>
          <w:szCs w:val="18"/>
          <w:shd w:val="clear" w:color="auto" w:fill="FFFFFF"/>
        </w:rPr>
        <w:t>页</w:t>
      </w:r>
      <w:r>
        <w:rPr>
          <w:rFonts w:ascii="Times New Roman" w:hAnsi="Times New Roman" w:eastAsia="宋体"/>
          <w:spacing w:val="-6"/>
          <w:sz w:val="18"/>
          <w:szCs w:val="18"/>
          <w:shd w:val="clear" w:color="auto" w:fill="FFFFFF"/>
        </w:rPr>
        <w:t>。</w:t>
      </w:r>
    </w:p>
    <w:p w14:paraId="1A74265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830" w:firstLineChars="500"/>
        <w:jc w:val="both"/>
        <w:textAlignment w:val="auto"/>
        <w:outlineLvl w:val="9"/>
        <w:rPr>
          <w:rFonts w:hint="eastAsia" w:ascii="Times New Roman" w:hAnsi="Times New Roman" w:eastAsia="宋体" w:cs="宋体"/>
          <w:b w:val="0"/>
          <w:bCs w:val="0"/>
          <w:color w:val="000000"/>
          <w:sz w:val="18"/>
          <w:szCs w:val="18"/>
          <w:highlight w:val="none"/>
          <w:lang w:val="en-US" w:eastAsia="zh-CN"/>
        </w:rPr>
      </w:pPr>
      <w:r>
        <w:rPr>
          <w:rFonts w:hint="eastAsia" w:ascii="Times New Roman" w:hAnsi="Times New Roman" w:eastAsia="宋体" w:cs="宋体"/>
          <w:b w:val="0"/>
          <w:bCs w:val="0"/>
          <w:color w:val="000000"/>
          <w:sz w:val="18"/>
          <w:szCs w:val="18"/>
          <w:highlight w:val="none"/>
          <w:lang w:val="en-US" w:eastAsia="zh-CN"/>
        </w:rPr>
        <w:t>诺思，2014：《制度、制度变迁与经济绩效》，杭行译，上海：格致出版社</w:t>
      </w:r>
      <w:r>
        <w:rPr>
          <w:rFonts w:hint="eastAsia" w:ascii="Times New Roman" w:hAnsi="Times New Roman" w:cs="宋体"/>
          <w:b w:val="0"/>
          <w:bCs w:val="0"/>
          <w:color w:val="000000"/>
          <w:sz w:val="18"/>
          <w:szCs w:val="18"/>
          <w:highlight w:val="none"/>
          <w:lang w:val="en-US" w:eastAsia="zh-CN"/>
        </w:rPr>
        <w:t>、上海人民出版社，第8-17页</w:t>
      </w:r>
      <w:r>
        <w:rPr>
          <w:rFonts w:hint="eastAsia" w:ascii="Times New Roman" w:hAnsi="Times New Roman" w:eastAsia="宋体" w:cs="宋体"/>
          <w:b w:val="0"/>
          <w:bCs w:val="0"/>
          <w:color w:val="000000"/>
          <w:sz w:val="18"/>
          <w:szCs w:val="18"/>
          <w:highlight w:val="none"/>
          <w:lang w:val="en-US" w:eastAsia="zh-CN"/>
        </w:rPr>
        <w:t>。</w:t>
      </w:r>
    </w:p>
    <w:p w14:paraId="7A4BD392">
      <w:pPr>
        <w:spacing w:line="240" w:lineRule="atLeast"/>
        <w:ind w:firstLine="482"/>
        <w:rPr>
          <w:rFonts w:ascii="Times New Roman" w:hAnsi="Times New Roman" w:eastAsia="宋体"/>
          <w:spacing w:val="-4"/>
          <w:sz w:val="18"/>
          <w:szCs w:val="18"/>
        </w:rPr>
      </w:pPr>
      <w:r>
        <w:rPr>
          <w:rFonts w:hint="eastAsia" w:ascii="Times New Roman" w:hAnsi="Times New Roman" w:eastAsia="宋体"/>
          <w:b/>
          <w:bCs/>
          <w:sz w:val="18"/>
          <w:szCs w:val="18"/>
          <w:u w:val="single"/>
        </w:rPr>
        <w:t>提醒：</w:t>
      </w:r>
      <w:r>
        <w:rPr>
          <w:rFonts w:ascii="Times New Roman" w:hAnsi="Times New Roman" w:eastAsia="宋体"/>
          <w:sz w:val="18"/>
          <w:szCs w:val="18"/>
        </w:rPr>
        <w:t>参考文献中书籍的版次</w:t>
      </w:r>
      <w:r>
        <w:rPr>
          <w:rFonts w:hint="eastAsia" w:ascii="Times New Roman" w:hAnsi="Times New Roman" w:eastAsia="宋体"/>
          <w:sz w:val="18"/>
          <w:szCs w:val="18"/>
        </w:rPr>
        <w:t>不</w:t>
      </w:r>
      <w:r>
        <w:rPr>
          <w:rFonts w:ascii="Times New Roman" w:hAnsi="Times New Roman" w:eastAsia="宋体"/>
          <w:sz w:val="18"/>
          <w:szCs w:val="18"/>
        </w:rPr>
        <w:t>放在书名号内</w:t>
      </w:r>
      <w:r>
        <w:rPr>
          <w:rFonts w:hint="eastAsia" w:ascii="Times New Roman" w:hAnsi="Times New Roman" w:eastAsia="宋体"/>
          <w:sz w:val="18"/>
          <w:szCs w:val="18"/>
        </w:rPr>
        <w:t>，且应改用阿拉伯数字表示。</w:t>
      </w:r>
      <w:r>
        <w:rPr>
          <w:rFonts w:ascii="Times New Roman" w:hAnsi="Times New Roman" w:eastAsia="宋体"/>
          <w:spacing w:val="-4"/>
          <w:sz w:val="18"/>
          <w:szCs w:val="18"/>
        </w:rPr>
        <w:t>例如：《社会学概论新修》（第</w:t>
      </w:r>
      <w:r>
        <w:rPr>
          <w:rFonts w:hint="eastAsia" w:ascii="Times New Roman" w:hAnsi="Times New Roman" w:eastAsia="宋体"/>
          <w:spacing w:val="-4"/>
          <w:sz w:val="18"/>
          <w:szCs w:val="18"/>
        </w:rPr>
        <w:t>4</w:t>
      </w:r>
      <w:r>
        <w:rPr>
          <w:rFonts w:ascii="Times New Roman" w:hAnsi="Times New Roman" w:eastAsia="宋体"/>
          <w:spacing w:val="-4"/>
          <w:sz w:val="18"/>
          <w:szCs w:val="18"/>
        </w:rPr>
        <w:t>版）。</w:t>
      </w:r>
    </w:p>
    <w:p w14:paraId="4B6BE4A7">
      <w:pPr>
        <w:spacing w:line="240" w:lineRule="atLeast"/>
        <w:ind w:firstLine="482"/>
        <w:rPr>
          <w:rFonts w:ascii="Times New Roman" w:hAnsi="Times New Roman" w:eastAsia="宋体"/>
          <w:spacing w:val="-4"/>
          <w:sz w:val="18"/>
          <w:szCs w:val="18"/>
          <w:shd w:val="clear" w:color="auto" w:fill="FFFFFF"/>
        </w:rPr>
      </w:pPr>
    </w:p>
    <w:p w14:paraId="7416766E">
      <w:pPr>
        <w:spacing w:line="240" w:lineRule="atLeast"/>
        <w:ind w:firstLine="482"/>
        <w:rPr>
          <w:rFonts w:ascii="Times New Roman" w:hAnsi="Times New Roman" w:eastAsia="宋体"/>
          <w:b/>
          <w:bCs/>
          <w:sz w:val="18"/>
          <w:szCs w:val="18"/>
        </w:rPr>
      </w:pPr>
      <w:bookmarkStart w:id="11" w:name="_Toc1631"/>
      <w:bookmarkStart w:id="12" w:name="_Toc21183"/>
      <w:r>
        <w:rPr>
          <w:rFonts w:hint="eastAsia" w:ascii="Times New Roman" w:hAnsi="Times New Roman" w:eastAsia="宋体"/>
          <w:b/>
          <w:bCs/>
          <w:sz w:val="18"/>
          <w:szCs w:val="18"/>
        </w:rPr>
        <w:t>（三）工作论文</w:t>
      </w:r>
      <w:bookmarkEnd w:id="11"/>
      <w:bookmarkEnd w:id="12"/>
    </w:p>
    <w:p w14:paraId="791F869B">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（1）中文工作论文</w:t>
      </w:r>
    </w:p>
    <w:p w14:paraId="7AF43DDD">
      <w:pPr>
        <w:spacing w:line="240" w:lineRule="atLeast"/>
        <w:ind w:firstLine="480"/>
        <w:rPr>
          <w:rFonts w:ascii="Times New Roman" w:hAnsi="Times New Roman" w:eastAsia="宋体"/>
          <w:sz w:val="18"/>
          <w:szCs w:val="18"/>
        </w:rPr>
      </w:pPr>
      <w:r>
        <w:rPr>
          <w:rFonts w:hint="eastAsia" w:ascii="Times New Roman" w:hAnsi="Times New Roman" w:eastAsia="宋体"/>
          <w:kern w:val="0"/>
          <w:sz w:val="18"/>
          <w:szCs w:val="18"/>
        </w:rPr>
        <w:t>体例：作者姓名，</w:t>
      </w:r>
      <w:r>
        <w:rPr>
          <w:rFonts w:hint="eastAsia" w:ascii="Times New Roman" w:hAnsi="Times New Roman" w:eastAsia="宋体"/>
          <w:sz w:val="18"/>
          <w:szCs w:val="18"/>
        </w:rPr>
        <w:t>年份：《论文题目》，组织机构名称（如××大学××学院）工作论文（编号），文献来源或网址。</w:t>
      </w:r>
    </w:p>
    <w:p w14:paraId="02AF1B16">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例：余淼杰、崔晓敏，2016：《我国的产能过剩及其衡量方法》，北京大学国家发展研究院工作论文No.C2016009，http://www.nsd.pku.edu.cn/publications/tlg/ tlg2015/2016/0905/271 59.html。</w:t>
      </w:r>
    </w:p>
    <w:p w14:paraId="2AA8AB6B">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（2）英文工作论文</w:t>
      </w:r>
    </w:p>
    <w:p w14:paraId="190FA4B3">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体例：作者姓名, 年份, “论文题目”, 组织机构名称（例如××大学××学院）工作论文（编号）</w:t>
      </w:r>
      <w:r>
        <w:rPr>
          <w:rFonts w:ascii="Times New Roman" w:hAnsi="Times New Roman" w:eastAsia="宋体"/>
          <w:sz w:val="18"/>
          <w:szCs w:val="18"/>
        </w:rPr>
        <w:t xml:space="preserve">, </w:t>
      </w:r>
      <w:r>
        <w:rPr>
          <w:rFonts w:hint="eastAsia" w:ascii="Times New Roman" w:hAnsi="Times New Roman" w:eastAsia="宋体"/>
          <w:sz w:val="18"/>
          <w:szCs w:val="18"/>
        </w:rPr>
        <w:t>文献来源或网址</w:t>
      </w:r>
      <w:r>
        <w:rPr>
          <w:rFonts w:ascii="Times New Roman" w:hAnsi="Times New Roman" w:eastAsia="宋体"/>
          <w:sz w:val="18"/>
          <w:szCs w:val="18"/>
        </w:rPr>
        <w:t>.</w:t>
      </w:r>
    </w:p>
    <w:p w14:paraId="15385708">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Wei, S., and Y. Wu, 2001, “Globalization and Inequality: Evidence from within China”, NBER Working Paper 8611, </w:t>
      </w:r>
      <w:r>
        <w:fldChar w:fldCharType="begin"/>
      </w:r>
      <w:r>
        <w:instrText xml:space="preserve"> HYPERLINK "http://www.nber.org/papers/w8611." </w:instrText>
      </w:r>
      <w:r>
        <w:fldChar w:fldCharType="separate"/>
      </w:r>
      <w:r>
        <w:rPr>
          <w:rStyle w:val="25"/>
          <w:rFonts w:ascii="Times New Roman" w:hAnsi="Times New Roman" w:eastAsia="宋体"/>
          <w:color w:val="auto"/>
          <w:sz w:val="18"/>
          <w:szCs w:val="18"/>
        </w:rPr>
        <w:t>http:</w:t>
      </w:r>
      <w:r>
        <w:rPr>
          <w:rStyle w:val="25"/>
          <w:rFonts w:hint="eastAsia" w:ascii="Times New Roman" w:hAnsi="Times New Roman" w:eastAsia="宋体"/>
          <w:color w:val="auto"/>
          <w:sz w:val="18"/>
          <w:szCs w:val="18"/>
        </w:rPr>
        <w:t>//</w:t>
      </w:r>
      <w:r>
        <w:rPr>
          <w:rStyle w:val="25"/>
          <w:rFonts w:ascii="Times New Roman" w:hAnsi="Times New Roman" w:eastAsia="宋体"/>
          <w:color w:val="auto"/>
          <w:sz w:val="18"/>
          <w:szCs w:val="18"/>
        </w:rPr>
        <w:t>www.nber.org/papers/w8611.</w:t>
      </w:r>
      <w:r>
        <w:rPr>
          <w:rStyle w:val="25"/>
          <w:rFonts w:ascii="Times New Roman" w:hAnsi="Times New Roman" w:eastAsia="宋体"/>
          <w:color w:val="auto"/>
          <w:sz w:val="18"/>
          <w:szCs w:val="18"/>
        </w:rPr>
        <w:fldChar w:fldCharType="end"/>
      </w:r>
    </w:p>
    <w:p w14:paraId="33F79003">
      <w:pPr>
        <w:spacing w:line="240" w:lineRule="atLeast"/>
        <w:ind w:firstLine="482"/>
        <w:rPr>
          <w:rFonts w:ascii="Times New Roman" w:hAnsi="Times New Roman" w:eastAsia="宋体"/>
          <w:b/>
          <w:bCs/>
          <w:sz w:val="18"/>
          <w:szCs w:val="18"/>
        </w:rPr>
      </w:pPr>
      <w:bookmarkStart w:id="13" w:name="_Toc1591"/>
      <w:bookmarkStart w:id="14" w:name="_Toc16486"/>
    </w:p>
    <w:p w14:paraId="3D960CC6">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（四）析出文献</w:t>
      </w:r>
      <w:bookmarkEnd w:id="13"/>
      <w:bookmarkEnd w:id="14"/>
    </w:p>
    <w:p w14:paraId="71BDAD9F">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（1）中文析出文献</w:t>
      </w:r>
    </w:p>
    <w:p w14:paraId="46AD9DD9">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体例：析出文献作者姓名，年份：《析出文献题目》，载源文献作者姓名（编）《源文献题目》，出版地：出版社，第××-××页。</w:t>
      </w:r>
    </w:p>
    <w:p w14:paraId="22ABBAB5">
      <w:pPr>
        <w:spacing w:line="240" w:lineRule="atLeast"/>
        <w:ind w:firstLine="480"/>
        <w:rPr>
          <w:rFonts w:ascii="Times New Roman" w:hAnsi="Times New Roman" w:eastAsia="宋体"/>
          <w:b/>
          <w:sz w:val="18"/>
          <w:szCs w:val="18"/>
        </w:rPr>
      </w:pPr>
      <w:r>
        <w:rPr>
          <w:rFonts w:hint="eastAsia" w:ascii="Times New Roman" w:hAnsi="Times New Roman" w:eastAsia="宋体"/>
          <w:sz w:val="18"/>
          <w:szCs w:val="18"/>
        </w:rPr>
        <w:t>例：史泰丽、岳希明、古斯塔夫森、李实，</w:t>
      </w:r>
      <w:r>
        <w:rPr>
          <w:rFonts w:ascii="Times New Roman" w:hAnsi="Times New Roman" w:eastAsia="宋体"/>
          <w:sz w:val="18"/>
          <w:szCs w:val="18"/>
        </w:rPr>
        <w:t>2008</w:t>
      </w:r>
      <w:r>
        <w:rPr>
          <w:rFonts w:hint="eastAsia" w:ascii="Times New Roman" w:hAnsi="Times New Roman" w:eastAsia="宋体"/>
          <w:sz w:val="18"/>
          <w:szCs w:val="18"/>
        </w:rPr>
        <w:t>：《中国城乡之间收入差距分析》，载李实、史泰丽、古斯塔夫森（编）《中国居民收入分配研究Ⅲ》，北京：北京师范大学出版社，第</w:t>
      </w:r>
      <w:r>
        <w:rPr>
          <w:rFonts w:ascii="Times New Roman" w:hAnsi="Times New Roman" w:eastAsia="宋体"/>
          <w:sz w:val="18"/>
          <w:szCs w:val="18"/>
        </w:rPr>
        <w:t>120</w:t>
      </w:r>
      <w:r>
        <w:rPr>
          <w:rFonts w:hint="eastAsia" w:ascii="Times New Roman" w:hAnsi="Times New Roman" w:eastAsia="宋体" w:cs="宋体"/>
          <w:sz w:val="18"/>
          <w:szCs w:val="18"/>
        </w:rPr>
        <w:t>-</w:t>
      </w:r>
      <w:r>
        <w:rPr>
          <w:rFonts w:ascii="Times New Roman" w:hAnsi="Times New Roman" w:eastAsia="宋体"/>
          <w:sz w:val="18"/>
          <w:szCs w:val="18"/>
        </w:rPr>
        <w:t>166</w:t>
      </w:r>
      <w:r>
        <w:rPr>
          <w:rFonts w:hint="eastAsia" w:ascii="Times New Roman" w:hAnsi="Times New Roman" w:eastAsia="宋体"/>
          <w:sz w:val="18"/>
          <w:szCs w:val="18"/>
        </w:rPr>
        <w:t>页。</w:t>
      </w:r>
    </w:p>
    <w:p w14:paraId="50835E67">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（2）英文析出文献</w:t>
      </w:r>
    </w:p>
    <w:p w14:paraId="25CEB2B9">
      <w:pPr>
        <w:spacing w:line="240" w:lineRule="atLeast"/>
        <w:ind w:firstLine="498" w:firstLineChars="300"/>
        <w:rPr>
          <w:rFonts w:hint="default"/>
          <w:b w:val="0"/>
          <w:bCs w:val="0"/>
          <w:color w:val="0000FF"/>
          <w:sz w:val="18"/>
          <w:szCs w:val="18"/>
          <w:lang w:val="en-US" w:eastAsia="zh-CN"/>
        </w:rPr>
      </w:pPr>
      <w:r>
        <w:rPr>
          <w:rFonts w:hint="eastAsia" w:ascii="Times New Roman" w:hAnsi="Times New Roman" w:eastAsia="宋体"/>
          <w:sz w:val="18"/>
          <w:szCs w:val="18"/>
        </w:rPr>
        <w:t>体例：析出文献作者姓名, 年份,</w:t>
      </w:r>
      <w:r>
        <w:rPr>
          <w:rFonts w:ascii="Times New Roman" w:hAnsi="Times New Roman" w:eastAsia="宋体"/>
          <w:sz w:val="18"/>
          <w:szCs w:val="18"/>
        </w:rPr>
        <w:t xml:space="preserve"> “</w:t>
      </w:r>
      <w:r>
        <w:rPr>
          <w:rFonts w:hint="eastAsia" w:ascii="Times New Roman" w:hAnsi="Times New Roman" w:eastAsia="宋体"/>
          <w:sz w:val="18"/>
          <w:szCs w:val="18"/>
        </w:rPr>
        <w:t>析出文献题目</w:t>
      </w:r>
      <w:r>
        <w:rPr>
          <w:rFonts w:ascii="Times New Roman" w:hAnsi="Times New Roman" w:eastAsia="宋体"/>
          <w:sz w:val="18"/>
          <w:szCs w:val="18"/>
        </w:rPr>
        <w:t>”</w:t>
      </w:r>
      <w:r>
        <w:rPr>
          <w:rFonts w:hint="eastAsia" w:ascii="Times New Roman" w:hAnsi="Times New Roman" w:eastAsia="宋体"/>
          <w:sz w:val="18"/>
          <w:szCs w:val="18"/>
        </w:rPr>
        <w:t xml:space="preserve">, </w:t>
      </w:r>
      <w:r>
        <w:rPr>
          <w:rFonts w:ascii="Times New Roman" w:hAnsi="Times New Roman" w:eastAsia="宋体"/>
          <w:sz w:val="18"/>
          <w:szCs w:val="18"/>
        </w:rPr>
        <w:t>in</w:t>
      </w:r>
      <w:r>
        <w:rPr>
          <w:rFonts w:hint="eastAsia" w:ascii="Times New Roman" w:hAnsi="Times New Roman" w:eastAsia="宋体"/>
          <w:sz w:val="18"/>
          <w:szCs w:val="18"/>
        </w:rPr>
        <w:t>源文献作者姓名(</w:t>
      </w:r>
      <w:r>
        <w:rPr>
          <w:rFonts w:ascii="Times New Roman" w:hAnsi="Times New Roman" w:eastAsia="宋体"/>
          <w:sz w:val="18"/>
          <w:szCs w:val="18"/>
        </w:rPr>
        <w:t>eds.</w:t>
      </w:r>
      <w:r>
        <w:rPr>
          <w:rFonts w:hint="eastAsia" w:ascii="Times New Roman" w:hAnsi="Times New Roman" w:eastAsia="宋体" w:cs="宋体"/>
          <w:sz w:val="18"/>
          <w:szCs w:val="18"/>
        </w:rPr>
        <w:t>)</w:t>
      </w:r>
      <w:r>
        <w:rPr>
          <w:rFonts w:hint="eastAsia" w:ascii="Times New Roman" w:hAnsi="Times New Roman" w:eastAsia="宋体"/>
          <w:sz w:val="18"/>
          <w:szCs w:val="18"/>
        </w:rPr>
        <w:t xml:space="preserve"> </w:t>
      </w:r>
      <w:r>
        <w:rPr>
          <w:rFonts w:hint="eastAsia" w:ascii="Times New Roman" w:hAnsi="Times New Roman" w:eastAsia="宋体"/>
          <w:i/>
          <w:sz w:val="18"/>
          <w:szCs w:val="18"/>
        </w:rPr>
        <w:t>源文献题目</w:t>
      </w:r>
      <w:r>
        <w:rPr>
          <w:rFonts w:hint="eastAsia" w:ascii="Times New Roman" w:hAnsi="Times New Roman" w:eastAsia="宋体"/>
          <w:sz w:val="18"/>
          <w:szCs w:val="18"/>
        </w:rPr>
        <w:t>, 出版地: 出版社,</w:t>
      </w:r>
      <w:r>
        <w:rPr>
          <w:rFonts w:ascii="Times New Roman" w:hAnsi="Times New Roman" w:eastAsia="宋体"/>
          <w:sz w:val="18"/>
          <w:szCs w:val="18"/>
        </w:rPr>
        <w:t xml:space="preserve"> </w:t>
      </w:r>
      <w:r>
        <w:rPr>
          <w:rFonts w:hint="eastAsia" w:ascii="Times New Roman" w:hAnsi="Times New Roman" w:eastAsia="宋体"/>
          <w:sz w:val="18"/>
          <w:szCs w:val="18"/>
        </w:rPr>
        <w:t>××-××</w:t>
      </w:r>
      <w:r>
        <w:rPr>
          <w:rFonts w:ascii="Times New Roman" w:hAnsi="Times New Roman" w:eastAsia="宋体"/>
          <w:sz w:val="18"/>
          <w:szCs w:val="18"/>
        </w:rPr>
        <w:t>.</w:t>
      </w:r>
      <w:r>
        <w:rPr>
          <w:rFonts w:hint="eastAsia"/>
          <w:b w:val="0"/>
          <w:bCs w:val="0"/>
          <w:color w:val="0000FF"/>
          <w:sz w:val="18"/>
          <w:szCs w:val="18"/>
          <w:lang w:val="en-US" w:eastAsia="zh-CN"/>
        </w:rPr>
        <w:t>（源文献作者名前姓后，如有多个，中间用</w:t>
      </w:r>
      <w:r>
        <w:rPr>
          <w:rFonts w:hint="default" w:ascii="Times New Roman" w:hAnsi="Times New Roman" w:cs="Times New Roman"/>
          <w:b w:val="0"/>
          <w:bCs w:val="0"/>
          <w:color w:val="0000FF"/>
          <w:sz w:val="18"/>
          <w:szCs w:val="18"/>
          <w:lang w:val="en-US" w:eastAsia="zh-CN"/>
        </w:rPr>
        <w:t>and</w:t>
      </w:r>
      <w:r>
        <w:rPr>
          <w:rFonts w:hint="eastAsia"/>
          <w:b w:val="0"/>
          <w:bCs w:val="0"/>
          <w:color w:val="0000FF"/>
          <w:sz w:val="18"/>
          <w:szCs w:val="18"/>
          <w:lang w:val="en-US" w:eastAsia="zh-CN"/>
        </w:rPr>
        <w:t>连接）</w:t>
      </w:r>
    </w:p>
    <w:p w14:paraId="7BCF053B">
      <w:pPr>
        <w:spacing w:line="240" w:lineRule="atLeast"/>
        <w:ind w:firstLine="482"/>
        <w:rPr>
          <w:rFonts w:ascii="Times New Roman" w:hAnsi="Times New Roman" w:eastAsia="宋体"/>
          <w:sz w:val="18"/>
          <w:szCs w:val="18"/>
        </w:rPr>
      </w:pPr>
      <w:r>
        <w:rPr>
          <w:rFonts w:hint="eastAsia" w:ascii="Times New Roman" w:hAnsi="Times New Roman" w:eastAsia="宋体"/>
          <w:b/>
          <w:bCs/>
          <w:sz w:val="18"/>
          <w:szCs w:val="18"/>
          <w:u w:val="single"/>
        </w:rPr>
        <w:t>注意</w:t>
      </w:r>
      <w:r>
        <w:rPr>
          <w:rFonts w:hint="eastAsia" w:ascii="Times New Roman" w:hAnsi="Times New Roman" w:eastAsia="宋体"/>
          <w:sz w:val="18"/>
          <w:szCs w:val="18"/>
        </w:rPr>
        <w:t>：如果编者只有一个，用“ed.”。</w:t>
      </w:r>
    </w:p>
    <w:p w14:paraId="77471B4B">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Li, S., and C. Luo, 2010, “Reestimating the Income Gap between Urban and Rural Households in China”, in M. K. Whyte (ed.) </w:t>
      </w:r>
      <w:r>
        <w:rPr>
          <w:rFonts w:ascii="Times New Roman" w:hAnsi="Times New Roman" w:eastAsia="宋体"/>
          <w:i/>
          <w:sz w:val="18"/>
          <w:szCs w:val="18"/>
        </w:rPr>
        <w:t>One Country, Two Societies: Rural-Urban Inequality in Contemporary China</w:t>
      </w:r>
      <w:r>
        <w:rPr>
          <w:rFonts w:ascii="Times New Roman" w:hAnsi="Times New Roman" w:eastAsia="宋体"/>
          <w:sz w:val="18"/>
          <w:szCs w:val="18"/>
        </w:rPr>
        <w:t>, Cambridge, MA: Harvard University Press, 105-121.</w:t>
      </w:r>
    </w:p>
    <w:p w14:paraId="764DD716">
      <w:pPr>
        <w:spacing w:beforeLines="0" w:afterLines="0" w:line="240" w:lineRule="atLeast"/>
        <w:ind w:firstLine="664" w:firstLineChars="400"/>
        <w:rPr>
          <w:rFonts w:hint="default" w:ascii="Times New Roman" w:hAnsi="Times New Roman" w:cs="Times New Roman"/>
          <w:color w:val="000000"/>
          <w:sz w:val="18"/>
          <w:szCs w:val="22"/>
          <w:highlight w:val="none"/>
        </w:rPr>
      </w:pPr>
      <w:r>
        <w:rPr>
          <w:rFonts w:hint="default" w:ascii="Times New Roman" w:hAnsi="Times New Roman" w:cs="Times New Roman"/>
          <w:color w:val="000000"/>
          <w:sz w:val="18"/>
          <w:szCs w:val="22"/>
          <w:highlight w:val="none"/>
        </w:rPr>
        <w:t>Bourdieu, P., 2016, “Habitus”, in J. Hiller</w:t>
      </w:r>
      <w:r>
        <w:rPr>
          <w:rFonts w:hint="default" w:ascii="Times New Roman" w:hAnsi="Times New Roman" w:cs="Times New Roman"/>
          <w:color w:val="000000"/>
          <w:sz w:val="18"/>
          <w:szCs w:val="22"/>
          <w:highlight w:val="none"/>
          <w:lang w:val="en-US" w:eastAsia="zh-CN"/>
        </w:rPr>
        <w:t>,</w:t>
      </w:r>
      <w:r>
        <w:rPr>
          <w:rFonts w:hint="default" w:ascii="Times New Roman" w:hAnsi="Times New Roman" w:cs="Times New Roman"/>
          <w:color w:val="000000"/>
          <w:sz w:val="18"/>
          <w:szCs w:val="22"/>
          <w:highlight w:val="none"/>
        </w:rPr>
        <w:t xml:space="preserve"> </w:t>
      </w:r>
      <w:r>
        <w:rPr>
          <w:rFonts w:hint="default" w:ascii="Times New Roman" w:hAnsi="Times New Roman" w:cs="Times New Roman"/>
          <w:color w:val="1D41D5"/>
          <w:sz w:val="18"/>
          <w:szCs w:val="22"/>
          <w:highlight w:val="none"/>
        </w:rPr>
        <w:t xml:space="preserve">and E. Rooksby (eds.) </w:t>
      </w:r>
      <w:r>
        <w:rPr>
          <w:rFonts w:hint="default" w:ascii="Times New Roman" w:hAnsi="Times New Roman" w:cs="Times New Roman"/>
          <w:i/>
          <w:color w:val="000000"/>
          <w:sz w:val="18"/>
          <w:szCs w:val="22"/>
          <w:highlight w:val="none"/>
        </w:rPr>
        <w:t xml:space="preserve">Habitus: A </w:t>
      </w:r>
      <w:r>
        <w:rPr>
          <w:rFonts w:hint="default" w:ascii="Times New Roman" w:hAnsi="Times New Roman" w:cs="Times New Roman"/>
          <w:i/>
          <w:color w:val="000000"/>
          <w:sz w:val="18"/>
          <w:szCs w:val="22"/>
          <w:highlight w:val="none"/>
          <w:lang w:val="en-US" w:eastAsia="zh-CN"/>
        </w:rPr>
        <w:t>S</w:t>
      </w:r>
      <w:r>
        <w:rPr>
          <w:rFonts w:hint="default" w:ascii="Times New Roman" w:hAnsi="Times New Roman" w:cs="Times New Roman"/>
          <w:i/>
          <w:color w:val="000000"/>
          <w:sz w:val="18"/>
          <w:szCs w:val="22"/>
          <w:highlight w:val="none"/>
        </w:rPr>
        <w:t xml:space="preserve">ense of </w:t>
      </w:r>
      <w:r>
        <w:rPr>
          <w:rFonts w:hint="default" w:ascii="Times New Roman" w:hAnsi="Times New Roman" w:cs="Times New Roman"/>
          <w:i/>
          <w:color w:val="000000"/>
          <w:sz w:val="18"/>
          <w:szCs w:val="22"/>
          <w:highlight w:val="none"/>
          <w:lang w:val="en-US" w:eastAsia="zh-CN"/>
        </w:rPr>
        <w:t>P</w:t>
      </w:r>
      <w:r>
        <w:rPr>
          <w:rFonts w:hint="default" w:ascii="Times New Roman" w:hAnsi="Times New Roman" w:cs="Times New Roman"/>
          <w:i/>
          <w:color w:val="000000"/>
          <w:sz w:val="18"/>
          <w:szCs w:val="22"/>
          <w:highlight w:val="none"/>
        </w:rPr>
        <w:t>lace</w:t>
      </w:r>
      <w:r>
        <w:rPr>
          <w:rFonts w:hint="default" w:ascii="Times New Roman" w:hAnsi="Times New Roman" w:cs="Times New Roman"/>
          <w:color w:val="000000"/>
          <w:sz w:val="18"/>
          <w:szCs w:val="22"/>
          <w:highlight w:val="none"/>
        </w:rPr>
        <w:t>, New York: Routledge, 59-66.</w:t>
      </w:r>
    </w:p>
    <w:p w14:paraId="051582D9">
      <w:pPr>
        <w:spacing w:line="240" w:lineRule="atLeast"/>
        <w:ind w:firstLine="480"/>
        <w:rPr>
          <w:rFonts w:ascii="Times New Roman" w:hAnsi="Times New Roman" w:eastAsia="宋体"/>
          <w:sz w:val="18"/>
          <w:szCs w:val="18"/>
        </w:rPr>
      </w:pPr>
    </w:p>
    <w:p w14:paraId="0F5C9769">
      <w:pPr>
        <w:spacing w:line="240" w:lineRule="atLeast"/>
        <w:ind w:firstLine="482"/>
        <w:rPr>
          <w:rFonts w:ascii="Times New Roman" w:hAnsi="Times New Roman" w:eastAsia="宋体"/>
          <w:b/>
          <w:bCs/>
          <w:sz w:val="18"/>
          <w:szCs w:val="18"/>
        </w:rPr>
      </w:pPr>
      <w:bookmarkStart w:id="15" w:name="_Toc11354"/>
      <w:bookmarkStart w:id="16" w:name="_Toc16724"/>
      <w:r>
        <w:rPr>
          <w:rFonts w:hint="eastAsia" w:ascii="Times New Roman" w:hAnsi="Times New Roman" w:eastAsia="宋体"/>
          <w:b/>
          <w:bCs/>
          <w:sz w:val="18"/>
          <w:szCs w:val="18"/>
        </w:rPr>
        <w:t>（五）外文会议论文</w:t>
      </w:r>
      <w:bookmarkEnd w:id="15"/>
      <w:bookmarkEnd w:id="16"/>
    </w:p>
    <w:p w14:paraId="5FBDDBED">
      <w:pPr>
        <w:spacing w:line="240" w:lineRule="atLeast"/>
        <w:ind w:firstLine="480"/>
        <w:rPr>
          <w:rFonts w:ascii="Times New Roman" w:hAnsi="Times New Roman" w:eastAsia="宋体"/>
          <w:sz w:val="18"/>
          <w:szCs w:val="18"/>
        </w:rPr>
      </w:pPr>
      <w:r>
        <w:rPr>
          <w:rFonts w:ascii="Times New Roman" w:hAnsi="Times New Roman" w:eastAsia="宋体"/>
          <w:sz w:val="18"/>
          <w:szCs w:val="18"/>
        </w:rPr>
        <w:t>体例：文献作者姓名</w:t>
      </w:r>
      <w:r>
        <w:rPr>
          <w:rFonts w:hint="eastAsia" w:ascii="Times New Roman" w:hAnsi="Times New Roman" w:eastAsia="宋体"/>
          <w:sz w:val="18"/>
          <w:szCs w:val="18"/>
        </w:rPr>
        <w:t xml:space="preserve">, </w:t>
      </w:r>
      <w:r>
        <w:rPr>
          <w:rFonts w:ascii="Times New Roman" w:hAnsi="Times New Roman" w:eastAsia="宋体"/>
          <w:sz w:val="18"/>
          <w:szCs w:val="18"/>
        </w:rPr>
        <w:t>年份</w:t>
      </w:r>
      <w:r>
        <w:rPr>
          <w:rFonts w:hint="eastAsia" w:ascii="Times New Roman" w:hAnsi="Times New Roman" w:eastAsia="宋体"/>
          <w:sz w:val="18"/>
          <w:szCs w:val="18"/>
        </w:rPr>
        <w:t>,</w:t>
      </w:r>
      <w:r>
        <w:rPr>
          <w:rFonts w:ascii="Times New Roman" w:hAnsi="Times New Roman" w:eastAsia="宋体"/>
          <w:sz w:val="18"/>
          <w:szCs w:val="18"/>
        </w:rPr>
        <w:t xml:space="preserve"> “</w:t>
      </w:r>
      <w:r>
        <w:rPr>
          <w:rFonts w:hint="eastAsia" w:ascii="Times New Roman" w:hAnsi="Times New Roman" w:eastAsia="宋体"/>
          <w:sz w:val="18"/>
          <w:szCs w:val="18"/>
        </w:rPr>
        <w:t>会议论文题目</w:t>
      </w:r>
      <w:r>
        <w:rPr>
          <w:rFonts w:ascii="Times New Roman" w:hAnsi="Times New Roman" w:eastAsia="宋体"/>
          <w:sz w:val="18"/>
          <w:szCs w:val="18"/>
        </w:rPr>
        <w:t>”</w:t>
      </w:r>
      <w:r>
        <w:rPr>
          <w:rFonts w:hint="eastAsia" w:ascii="Times New Roman" w:hAnsi="Times New Roman" w:eastAsia="宋体"/>
          <w:sz w:val="18"/>
          <w:szCs w:val="18"/>
        </w:rPr>
        <w:t>, conference paper, 会议名称,</w:t>
      </w:r>
      <w:r>
        <w:rPr>
          <w:rFonts w:ascii="Times New Roman" w:hAnsi="Times New Roman" w:eastAsia="宋体"/>
          <w:sz w:val="18"/>
          <w:szCs w:val="18"/>
        </w:rPr>
        <w:t xml:space="preserve"> </w:t>
      </w:r>
      <w:r>
        <w:rPr>
          <w:rFonts w:hint="eastAsia" w:ascii="Times New Roman" w:hAnsi="Times New Roman" w:eastAsia="宋体"/>
          <w:sz w:val="18"/>
          <w:szCs w:val="18"/>
        </w:rPr>
        <w:t>会议地点,</w:t>
      </w:r>
      <w:r>
        <w:rPr>
          <w:rFonts w:ascii="Times New Roman" w:hAnsi="Times New Roman" w:eastAsia="宋体"/>
          <w:sz w:val="18"/>
          <w:szCs w:val="18"/>
        </w:rPr>
        <w:t xml:space="preserve"> </w:t>
      </w:r>
      <w:r>
        <w:rPr>
          <w:rFonts w:hint="eastAsia" w:ascii="Times New Roman" w:hAnsi="Times New Roman" w:eastAsia="宋体"/>
          <w:sz w:val="18"/>
          <w:szCs w:val="18"/>
        </w:rPr>
        <w:t>文献链接或网址.</w:t>
      </w:r>
    </w:p>
    <w:p w14:paraId="47841ADB">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Taylor, M., and A. Featherstone, 2016, “The Value of Social Capital in Cropland Leasing Relationships”, </w:t>
      </w:r>
      <w:r>
        <w:rPr>
          <w:rFonts w:hint="eastAsia" w:ascii="Times New Roman" w:hAnsi="Times New Roman" w:eastAsia="宋体"/>
          <w:sz w:val="18"/>
          <w:szCs w:val="18"/>
        </w:rPr>
        <w:t>C</w:t>
      </w:r>
      <w:r>
        <w:rPr>
          <w:rFonts w:ascii="Times New Roman" w:hAnsi="Times New Roman" w:eastAsia="宋体"/>
          <w:sz w:val="18"/>
          <w:szCs w:val="18"/>
        </w:rPr>
        <w:t xml:space="preserve">onference </w:t>
      </w:r>
      <w:r>
        <w:rPr>
          <w:rFonts w:hint="eastAsia" w:ascii="Times New Roman" w:hAnsi="Times New Roman" w:eastAsia="宋体"/>
          <w:sz w:val="18"/>
          <w:szCs w:val="18"/>
        </w:rPr>
        <w:t>P</w:t>
      </w:r>
      <w:r>
        <w:rPr>
          <w:rFonts w:ascii="Times New Roman" w:hAnsi="Times New Roman" w:eastAsia="宋体"/>
          <w:sz w:val="18"/>
          <w:szCs w:val="18"/>
        </w:rPr>
        <w:t xml:space="preserve">aper, 2016 Annual Meeting of Agricultural and Applied Economics Association, </w:t>
      </w:r>
      <w:r>
        <w:rPr>
          <w:rFonts w:ascii="Times New Roman" w:hAnsi="Times New Roman" w:eastAsia="宋体"/>
          <w:spacing w:val="-4"/>
          <w:sz w:val="18"/>
          <w:szCs w:val="18"/>
        </w:rPr>
        <w:t>Boston:</w:t>
      </w:r>
      <w:r>
        <w:rPr>
          <w:rFonts w:hint="eastAsia" w:ascii="Times New Roman" w:hAnsi="Times New Roman" w:eastAsia="宋体"/>
          <w:spacing w:val="-4"/>
          <w:sz w:val="18"/>
          <w:szCs w:val="18"/>
        </w:rPr>
        <w:t xml:space="preserve"> </w:t>
      </w:r>
      <w:r>
        <w:rPr>
          <w:rFonts w:ascii="Times New Roman" w:hAnsi="Times New Roman" w:eastAsia="宋体"/>
          <w:spacing w:val="-4"/>
          <w:sz w:val="18"/>
          <w:szCs w:val="18"/>
        </w:rPr>
        <w:t>Massachusetts</w:t>
      </w:r>
      <w:r>
        <w:rPr>
          <w:rFonts w:hint="eastAsia" w:ascii="Times New Roman" w:hAnsi="Times New Roman" w:eastAsia="宋体"/>
          <w:spacing w:val="-4"/>
          <w:sz w:val="18"/>
          <w:szCs w:val="18"/>
        </w:rPr>
        <w:t xml:space="preserve">, </w:t>
      </w:r>
      <w:r>
        <w:fldChar w:fldCharType="begin"/>
      </w:r>
      <w:r>
        <w:instrText xml:space="preserve"> HYPERLINK "https://ideas.repec.org/%20p/ags/aaea16/235975.html" </w:instrText>
      </w:r>
      <w:r>
        <w:fldChar w:fldCharType="separate"/>
      </w:r>
      <w:r>
        <w:rPr>
          <w:rStyle w:val="25"/>
          <w:rFonts w:hint="eastAsia" w:ascii="Times New Roman" w:hAnsi="Times New Roman" w:eastAsia="宋体"/>
          <w:spacing w:val="-4"/>
          <w:sz w:val="18"/>
          <w:szCs w:val="18"/>
        </w:rPr>
        <w:t>https://ideas.repec.org/</w:t>
      </w:r>
      <w:r>
        <w:rPr>
          <w:rStyle w:val="25"/>
          <w:rFonts w:ascii="Times New Roman" w:hAnsi="Times New Roman" w:eastAsia="宋体"/>
          <w:spacing w:val="-4"/>
          <w:sz w:val="18"/>
          <w:szCs w:val="18"/>
        </w:rPr>
        <w:t xml:space="preserve"> </w:t>
      </w:r>
      <w:r>
        <w:rPr>
          <w:rStyle w:val="25"/>
          <w:rFonts w:hint="eastAsia" w:ascii="Times New Roman" w:hAnsi="Times New Roman" w:eastAsia="宋体"/>
          <w:spacing w:val="-4"/>
          <w:sz w:val="18"/>
          <w:szCs w:val="18"/>
        </w:rPr>
        <w:t>p/ags/aaea16/235975.html</w:t>
      </w:r>
      <w:r>
        <w:rPr>
          <w:rStyle w:val="25"/>
          <w:rFonts w:hint="eastAsia" w:ascii="Times New Roman" w:hAnsi="Times New Roman" w:eastAsia="宋体"/>
          <w:spacing w:val="-4"/>
          <w:sz w:val="18"/>
          <w:szCs w:val="18"/>
        </w:rPr>
        <w:fldChar w:fldCharType="end"/>
      </w:r>
      <w:r>
        <w:rPr>
          <w:rFonts w:ascii="Times New Roman" w:hAnsi="Times New Roman" w:eastAsia="宋体"/>
          <w:sz w:val="18"/>
          <w:szCs w:val="18"/>
        </w:rPr>
        <w:t>.</w:t>
      </w:r>
    </w:p>
    <w:p w14:paraId="292734FE">
      <w:pPr>
        <w:spacing w:line="240" w:lineRule="atLeast"/>
        <w:ind w:firstLine="480"/>
        <w:rPr>
          <w:rFonts w:ascii="Times New Roman" w:hAnsi="Times New Roman" w:eastAsia="宋体"/>
          <w:sz w:val="18"/>
          <w:szCs w:val="18"/>
        </w:rPr>
      </w:pPr>
    </w:p>
    <w:p w14:paraId="1FCEA61A">
      <w:pPr>
        <w:spacing w:line="240" w:lineRule="atLeast"/>
        <w:ind w:firstLine="482"/>
        <w:rPr>
          <w:rFonts w:ascii="Times New Roman" w:hAnsi="Times New Roman" w:eastAsia="宋体"/>
          <w:b/>
          <w:bCs/>
          <w:sz w:val="18"/>
          <w:szCs w:val="18"/>
        </w:rPr>
      </w:pPr>
      <w:bookmarkStart w:id="17" w:name="_Toc30814"/>
      <w:bookmarkStart w:id="18" w:name="_Toc8277"/>
      <w:r>
        <w:rPr>
          <w:rFonts w:hint="eastAsia" w:ascii="Times New Roman" w:hAnsi="Times New Roman" w:eastAsia="宋体"/>
          <w:b/>
          <w:bCs/>
          <w:sz w:val="18"/>
          <w:szCs w:val="18"/>
        </w:rPr>
        <w:t>（六）学位论文</w:t>
      </w:r>
      <w:bookmarkEnd w:id="17"/>
      <w:bookmarkEnd w:id="18"/>
    </w:p>
    <w:p w14:paraId="1D23E990">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（1）中文学位论文</w:t>
      </w:r>
    </w:p>
    <w:p w14:paraId="6425436E">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体例：论文作者，年份：《论文题目》，××学校硕士（博士）学位论文。</w:t>
      </w:r>
    </w:p>
    <w:p w14:paraId="3D967FB6">
      <w:pPr>
        <w:spacing w:line="240" w:lineRule="atLeast"/>
        <w:ind w:firstLine="480"/>
        <w:rPr>
          <w:rFonts w:ascii="Times New Roman" w:hAnsi="Times New Roman" w:eastAsia="宋体"/>
          <w:sz w:val="18"/>
          <w:szCs w:val="18"/>
        </w:rPr>
      </w:pPr>
      <w:r>
        <w:rPr>
          <w:rFonts w:ascii="Times New Roman" w:hAnsi="Times New Roman" w:eastAsia="宋体"/>
          <w:sz w:val="18"/>
          <w:szCs w:val="18"/>
        </w:rPr>
        <w:t>例</w:t>
      </w:r>
      <w:r>
        <w:rPr>
          <w:rFonts w:hint="eastAsia" w:ascii="Times New Roman" w:hAnsi="Times New Roman" w:eastAsia="宋体"/>
          <w:sz w:val="18"/>
          <w:szCs w:val="18"/>
        </w:rPr>
        <w:t>：</w:t>
      </w:r>
      <w:r>
        <w:rPr>
          <w:rFonts w:ascii="Times New Roman" w:hAnsi="Times New Roman" w:eastAsia="宋体"/>
          <w:sz w:val="18"/>
          <w:szCs w:val="18"/>
        </w:rPr>
        <w:t>王旭东，2007：《中国农村宅基地制度研究》，财政部财政科学研究所博士学位论文</w:t>
      </w:r>
      <w:r>
        <w:rPr>
          <w:rFonts w:hint="eastAsia" w:ascii="Times New Roman" w:hAnsi="Times New Roman" w:eastAsia="宋体"/>
          <w:sz w:val="18"/>
          <w:szCs w:val="18"/>
        </w:rPr>
        <w:t>。</w:t>
      </w:r>
    </w:p>
    <w:p w14:paraId="6CF448D1">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（2）外文学位论文</w:t>
      </w:r>
    </w:p>
    <w:p w14:paraId="71FB8733">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 xml:space="preserve">体例：论文作者, 年份, </w:t>
      </w:r>
      <w:r>
        <w:rPr>
          <w:rFonts w:ascii="Times New Roman" w:hAnsi="Times New Roman" w:eastAsia="宋体"/>
          <w:sz w:val="18"/>
          <w:szCs w:val="18"/>
        </w:rPr>
        <w:t>“</w:t>
      </w:r>
      <w:r>
        <w:rPr>
          <w:rFonts w:hint="eastAsia" w:ascii="Times New Roman" w:hAnsi="Times New Roman" w:eastAsia="宋体"/>
          <w:sz w:val="18"/>
          <w:szCs w:val="18"/>
        </w:rPr>
        <w:t>论文题目</w:t>
      </w:r>
      <w:r>
        <w:rPr>
          <w:rFonts w:ascii="Times New Roman" w:hAnsi="Times New Roman" w:eastAsia="宋体"/>
          <w:sz w:val="18"/>
          <w:szCs w:val="18"/>
        </w:rPr>
        <w:t>”</w:t>
      </w:r>
      <w:r>
        <w:rPr>
          <w:rFonts w:hint="eastAsia" w:ascii="Times New Roman" w:hAnsi="Times New Roman" w:eastAsia="宋体"/>
          <w:sz w:val="18"/>
          <w:szCs w:val="18"/>
        </w:rPr>
        <w:t>, PhD ( Master) Dissertation, ××University.</w:t>
      </w:r>
    </w:p>
    <w:p w14:paraId="2EAD5109">
      <w:pPr>
        <w:spacing w:line="240" w:lineRule="atLeast"/>
        <w:ind w:firstLine="480"/>
        <w:rPr>
          <w:rFonts w:ascii="Times New Roman" w:hAnsi="Times New Roman" w:eastAsia="宋体"/>
          <w:sz w:val="18"/>
          <w:szCs w:val="18"/>
        </w:rPr>
      </w:pPr>
      <w:r>
        <w:rPr>
          <w:rFonts w:ascii="Times New Roman" w:hAnsi="Times New Roman" w:eastAsia="宋体"/>
          <w:sz w:val="18"/>
          <w:szCs w:val="18"/>
        </w:rPr>
        <w:t>例：L</w:t>
      </w:r>
      <w:r>
        <w:rPr>
          <w:rFonts w:hint="eastAsia" w:ascii="Times New Roman" w:hAnsi="Times New Roman" w:eastAsia="宋体"/>
          <w:sz w:val="18"/>
          <w:szCs w:val="18"/>
        </w:rPr>
        <w:t xml:space="preserve">in, </w:t>
      </w:r>
      <w:r>
        <w:rPr>
          <w:rFonts w:ascii="Times New Roman" w:hAnsi="Times New Roman" w:eastAsia="宋体"/>
          <w:sz w:val="18"/>
          <w:szCs w:val="18"/>
        </w:rPr>
        <w:t xml:space="preserve">Weiwei, 2020, “Robust Speaker Recognition </w:t>
      </w:r>
      <w:r>
        <w:rPr>
          <w:rFonts w:hint="eastAsia" w:ascii="Times New Roman" w:hAnsi="Times New Roman" w:eastAsia="宋体"/>
          <w:sz w:val="18"/>
          <w:szCs w:val="18"/>
        </w:rPr>
        <w:t>U</w:t>
      </w:r>
      <w:r>
        <w:rPr>
          <w:rFonts w:ascii="Times New Roman" w:hAnsi="Times New Roman" w:eastAsia="宋体"/>
          <w:sz w:val="18"/>
          <w:szCs w:val="18"/>
        </w:rPr>
        <w:t>sing Deep Neural Networks”, PhD Dissertation, The Hong Kong Polytechnic University.</w:t>
      </w:r>
    </w:p>
    <w:p w14:paraId="6294FA2B">
      <w:pPr>
        <w:spacing w:line="240" w:lineRule="atLeast"/>
        <w:ind w:firstLine="480"/>
        <w:rPr>
          <w:rFonts w:ascii="Times New Roman" w:hAnsi="Times New Roman" w:eastAsia="宋体"/>
          <w:sz w:val="18"/>
          <w:szCs w:val="18"/>
        </w:rPr>
      </w:pPr>
    </w:p>
    <w:p w14:paraId="101B2C10">
      <w:pPr>
        <w:spacing w:line="240" w:lineRule="atLeast"/>
        <w:ind w:firstLine="482"/>
        <w:rPr>
          <w:rFonts w:ascii="Times New Roman" w:hAnsi="Times New Roman" w:eastAsia="宋体"/>
          <w:b/>
          <w:bCs/>
          <w:sz w:val="18"/>
          <w:szCs w:val="18"/>
        </w:rPr>
      </w:pPr>
      <w:bookmarkStart w:id="19" w:name="_Toc8018"/>
      <w:bookmarkStart w:id="20" w:name="_Toc19218"/>
      <w:r>
        <w:rPr>
          <w:rFonts w:hint="eastAsia" w:ascii="Times New Roman" w:hAnsi="Times New Roman" w:eastAsia="宋体"/>
          <w:b/>
          <w:bCs/>
          <w:sz w:val="18"/>
          <w:szCs w:val="18"/>
        </w:rPr>
        <w:t>（七）研究报告</w:t>
      </w:r>
      <w:bookmarkEnd w:id="19"/>
      <w:bookmarkEnd w:id="20"/>
    </w:p>
    <w:p w14:paraId="743A602D">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（1）中文研究报告</w:t>
      </w:r>
    </w:p>
    <w:p w14:paraId="11EF10CC">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体例：文献作者，年份：《研究报告题目》，文献网址链接。</w:t>
      </w:r>
    </w:p>
    <w:p w14:paraId="0B0B5F46">
      <w:pPr>
        <w:spacing w:line="240" w:lineRule="atLeast"/>
        <w:ind w:firstLine="480"/>
        <w:rPr>
          <w:rFonts w:ascii="Times New Roman" w:hAnsi="Times New Roman" w:eastAsia="宋体"/>
          <w:sz w:val="18"/>
          <w:szCs w:val="18"/>
        </w:rPr>
      </w:pPr>
      <w:r>
        <w:rPr>
          <w:rFonts w:ascii="Times New Roman" w:hAnsi="Times New Roman" w:eastAsia="宋体"/>
          <w:sz w:val="18"/>
          <w:szCs w:val="18"/>
        </w:rPr>
        <w:t>例：中商产业研究院，2021</w:t>
      </w:r>
      <w:r>
        <w:rPr>
          <w:rFonts w:hint="eastAsia" w:ascii="Times New Roman" w:hAnsi="Times New Roman" w:eastAsia="宋体"/>
          <w:sz w:val="18"/>
          <w:szCs w:val="18"/>
        </w:rPr>
        <w:t>：</w:t>
      </w:r>
      <w:r>
        <w:rPr>
          <w:rFonts w:ascii="Times New Roman" w:hAnsi="Times New Roman" w:eastAsia="宋体"/>
          <w:sz w:val="18"/>
          <w:szCs w:val="18"/>
        </w:rPr>
        <w:t>《2021年中国农业机械行业市场前景及投资研究报告》，</w:t>
      </w:r>
      <w:r>
        <w:fldChar w:fldCharType="begin"/>
      </w:r>
      <w:r>
        <w:instrText xml:space="preserve"> HYPERLINK "https://www.askci.com/news" </w:instrText>
      </w:r>
      <w:r>
        <w:fldChar w:fldCharType="separate"/>
      </w:r>
      <w:r>
        <w:rPr>
          <w:rStyle w:val="25"/>
          <w:rFonts w:ascii="Times New Roman" w:hAnsi="Times New Roman" w:eastAsia="宋体"/>
          <w:sz w:val="18"/>
          <w:szCs w:val="18"/>
        </w:rPr>
        <w:t>https://www.askci.com/news</w:t>
      </w:r>
      <w:r>
        <w:rPr>
          <w:rStyle w:val="25"/>
          <w:rFonts w:ascii="Times New Roman" w:hAnsi="Times New Roman" w:eastAsia="宋体"/>
          <w:sz w:val="18"/>
          <w:szCs w:val="18"/>
        </w:rPr>
        <w:fldChar w:fldCharType="end"/>
      </w:r>
    </w:p>
    <w:p w14:paraId="637E0866">
      <w:pPr>
        <w:spacing w:line="240" w:lineRule="atLeast"/>
        <w:rPr>
          <w:rFonts w:ascii="Times New Roman" w:hAnsi="Times New Roman" w:eastAsia="宋体"/>
          <w:sz w:val="18"/>
          <w:szCs w:val="18"/>
        </w:rPr>
      </w:pPr>
      <w:r>
        <w:rPr>
          <w:rFonts w:ascii="Times New Roman" w:hAnsi="Times New Roman" w:eastAsia="宋体"/>
          <w:sz w:val="18"/>
          <w:szCs w:val="18"/>
        </w:rPr>
        <w:t>/chanye/202103</w:t>
      </w:r>
      <w:r>
        <w:rPr>
          <w:rFonts w:hint="eastAsia" w:ascii="Times New Roman" w:hAnsi="Times New Roman" w:eastAsia="宋体"/>
          <w:sz w:val="18"/>
          <w:szCs w:val="18"/>
        </w:rPr>
        <w:t xml:space="preserve"> </w:t>
      </w:r>
      <w:r>
        <w:rPr>
          <w:rFonts w:ascii="Times New Roman" w:hAnsi="Times New Roman" w:eastAsia="宋体"/>
          <w:sz w:val="18"/>
          <w:szCs w:val="18"/>
        </w:rPr>
        <w:t>15/1735101386916.shtml。</w:t>
      </w:r>
    </w:p>
    <w:p w14:paraId="714DD1D9">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（2）英文研究报告</w:t>
      </w:r>
    </w:p>
    <w:p w14:paraId="7A6F0510">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体例：文献作者, 年份,</w:t>
      </w:r>
      <w:r>
        <w:rPr>
          <w:rFonts w:ascii="Times New Roman" w:hAnsi="Times New Roman" w:eastAsia="宋体"/>
          <w:sz w:val="18"/>
          <w:szCs w:val="18"/>
        </w:rPr>
        <w:t xml:space="preserve"> “</w:t>
      </w:r>
      <w:r>
        <w:rPr>
          <w:rFonts w:hint="eastAsia" w:ascii="Times New Roman" w:hAnsi="Times New Roman" w:eastAsia="宋体"/>
          <w:sz w:val="18"/>
          <w:szCs w:val="18"/>
        </w:rPr>
        <w:t>研究报告</w:t>
      </w:r>
      <w:r>
        <w:rPr>
          <w:rFonts w:ascii="Times New Roman" w:hAnsi="Times New Roman" w:eastAsia="宋体"/>
          <w:sz w:val="18"/>
          <w:szCs w:val="18"/>
        </w:rPr>
        <w:t>”</w:t>
      </w:r>
      <w:r>
        <w:rPr>
          <w:rFonts w:hint="eastAsia" w:ascii="Times New Roman" w:hAnsi="Times New Roman" w:eastAsia="宋体"/>
          <w:sz w:val="18"/>
          <w:szCs w:val="18"/>
        </w:rPr>
        <w:t>, 文献网址链接.</w:t>
      </w:r>
    </w:p>
    <w:p w14:paraId="228453E4">
      <w:pPr>
        <w:spacing w:line="240" w:lineRule="atLeast"/>
        <w:ind w:firstLine="482"/>
        <w:rPr>
          <w:rFonts w:ascii="Times New Roman" w:hAnsi="Times New Roman" w:eastAsia="宋体"/>
          <w:sz w:val="18"/>
          <w:szCs w:val="18"/>
        </w:rPr>
      </w:pPr>
      <w:r>
        <w:rPr>
          <w:rFonts w:hint="eastAsia" w:ascii="Times New Roman" w:hAnsi="Times New Roman" w:eastAsia="宋体"/>
          <w:sz w:val="18"/>
          <w:szCs w:val="18"/>
        </w:rPr>
        <w:t xml:space="preserve">例：World Bank, 2009, </w:t>
      </w:r>
      <w:r>
        <w:rPr>
          <w:rFonts w:ascii="Times New Roman" w:hAnsi="Times New Roman" w:eastAsia="宋体"/>
          <w:sz w:val="18"/>
          <w:szCs w:val="18"/>
        </w:rPr>
        <w:t>“</w:t>
      </w:r>
      <w:r>
        <w:rPr>
          <w:rFonts w:hint="eastAsia" w:ascii="Times New Roman" w:hAnsi="Times New Roman" w:eastAsia="宋体"/>
          <w:sz w:val="18"/>
          <w:szCs w:val="18"/>
        </w:rPr>
        <w:t>China - From Poor Areas to Poor People: China</w:t>
      </w:r>
      <w:r>
        <w:rPr>
          <w:rFonts w:ascii="Times New Roman" w:hAnsi="Times New Roman" w:eastAsia="宋体"/>
          <w:sz w:val="18"/>
          <w:szCs w:val="18"/>
        </w:rPr>
        <w:t>’</w:t>
      </w:r>
      <w:r>
        <w:rPr>
          <w:rFonts w:hint="eastAsia" w:ascii="Times New Roman" w:hAnsi="Times New Roman" w:eastAsia="宋体"/>
          <w:sz w:val="18"/>
          <w:szCs w:val="18"/>
        </w:rPr>
        <w:t xml:space="preserve"> s Evolving Poverty Reduction Agenda - An Assessment of Poverty and Inequality</w:t>
      </w:r>
      <w:r>
        <w:rPr>
          <w:rFonts w:ascii="Times New Roman" w:hAnsi="Times New Roman" w:eastAsia="宋体"/>
          <w:sz w:val="18"/>
          <w:szCs w:val="18"/>
        </w:rPr>
        <w:t xml:space="preserve">”, </w:t>
      </w:r>
      <w:r>
        <w:fldChar w:fldCharType="begin"/>
      </w:r>
      <w:r>
        <w:instrText xml:space="preserve"> HYPERLINK "https://documents.worldbank.org/en/publication/documents-reports/documentdetail/" </w:instrText>
      </w:r>
      <w:r>
        <w:fldChar w:fldCharType="separate"/>
      </w:r>
      <w:r>
        <w:rPr>
          <w:rStyle w:val="25"/>
          <w:rFonts w:hint="eastAsia" w:ascii="Times New Roman" w:hAnsi="Times New Roman" w:eastAsia="宋体"/>
          <w:sz w:val="18"/>
          <w:szCs w:val="18"/>
        </w:rPr>
        <w:t>https://documents.worldbank.org/en/publication/documents-reports/documentdetail/</w:t>
      </w:r>
      <w:r>
        <w:rPr>
          <w:rStyle w:val="25"/>
          <w:rFonts w:hint="eastAsia" w:ascii="Times New Roman" w:hAnsi="Times New Roman" w:eastAsia="宋体"/>
          <w:sz w:val="18"/>
          <w:szCs w:val="18"/>
        </w:rPr>
        <w:fldChar w:fldCharType="end"/>
      </w:r>
      <w:r>
        <w:rPr>
          <w:rFonts w:hint="eastAsia" w:ascii="Times New Roman" w:hAnsi="Times New Roman" w:eastAsia="宋体"/>
          <w:sz w:val="18"/>
          <w:szCs w:val="18"/>
        </w:rPr>
        <w:t>816851</w:t>
      </w:r>
    </w:p>
    <w:p w14:paraId="3A7656EA">
      <w:pPr>
        <w:spacing w:line="240" w:lineRule="atLeast"/>
        <w:rPr>
          <w:rFonts w:ascii="Times New Roman" w:hAnsi="Times New Roman" w:eastAsia="宋体"/>
          <w:sz w:val="18"/>
          <w:szCs w:val="18"/>
        </w:rPr>
      </w:pPr>
      <w:r>
        <w:rPr>
          <w:rFonts w:hint="eastAsia" w:ascii="Times New Roman" w:hAnsi="Times New Roman" w:eastAsia="宋体"/>
          <w:sz w:val="18"/>
          <w:szCs w:val="18"/>
        </w:rPr>
        <w:t>468219918783/china-from-poor-areas-to-poor-people-chinas-evolving-poverty-reduction-agenda-an-assessment-of-poverty-and-in</w:t>
      </w:r>
    </w:p>
    <w:p w14:paraId="579D4A48">
      <w:pPr>
        <w:spacing w:line="240" w:lineRule="atLeast"/>
        <w:rPr>
          <w:rFonts w:ascii="Times New Roman" w:hAnsi="Times New Roman" w:eastAsia="宋体"/>
          <w:sz w:val="18"/>
          <w:szCs w:val="18"/>
        </w:rPr>
      </w:pPr>
      <w:r>
        <w:rPr>
          <w:rFonts w:hint="eastAsia" w:ascii="Times New Roman" w:hAnsi="Times New Roman" w:eastAsia="宋体"/>
          <w:sz w:val="18"/>
          <w:szCs w:val="18"/>
        </w:rPr>
        <w:t>equality.</w:t>
      </w:r>
    </w:p>
    <w:p w14:paraId="7A5C19AB">
      <w:pPr>
        <w:spacing w:line="240" w:lineRule="atLeast"/>
        <w:ind w:firstLine="482"/>
        <w:rPr>
          <w:rFonts w:ascii="Times New Roman" w:hAnsi="Times New Roman" w:eastAsia="宋体"/>
          <w:b/>
          <w:bCs/>
          <w:sz w:val="18"/>
          <w:szCs w:val="18"/>
        </w:rPr>
      </w:pPr>
      <w:bookmarkStart w:id="21" w:name="_Toc27712"/>
      <w:bookmarkStart w:id="22" w:name="_Toc30385"/>
    </w:p>
    <w:p w14:paraId="01062CEC">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（八）报纸上的理论或学术文章</w:t>
      </w:r>
      <w:bookmarkEnd w:id="21"/>
      <w:bookmarkEnd w:id="22"/>
    </w:p>
    <w:p w14:paraId="07D73725">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（1）中文报纸</w:t>
      </w:r>
    </w:p>
    <w:p w14:paraId="2A04FF91">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体例：作者，年份：《文章题名》，报纸名称×月×日×版。</w:t>
      </w:r>
    </w:p>
    <w:p w14:paraId="2C8714A5">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黄承伟，</w:t>
      </w:r>
      <w:r>
        <w:rPr>
          <w:rFonts w:hint="eastAsia" w:ascii="Times New Roman" w:hAnsi="Times New Roman" w:eastAsia="宋体"/>
          <w:sz w:val="18"/>
          <w:szCs w:val="18"/>
        </w:rPr>
        <w:t>2018</w:t>
      </w:r>
      <w:r>
        <w:rPr>
          <w:rFonts w:ascii="Times New Roman" w:hAnsi="Times New Roman" w:eastAsia="宋体"/>
          <w:sz w:val="18"/>
          <w:szCs w:val="18"/>
        </w:rPr>
        <w:t>：《中国特色扶贫开发道路不断拓展》，《人民日报》</w:t>
      </w:r>
      <w:r>
        <w:rPr>
          <w:rFonts w:hint="eastAsia" w:ascii="Times New Roman" w:hAnsi="Times New Roman" w:eastAsia="宋体"/>
          <w:sz w:val="18"/>
          <w:szCs w:val="18"/>
        </w:rPr>
        <w:t>8</w:t>
      </w:r>
      <w:r>
        <w:rPr>
          <w:rFonts w:ascii="Times New Roman" w:hAnsi="Times New Roman" w:eastAsia="宋体"/>
          <w:sz w:val="18"/>
          <w:szCs w:val="18"/>
        </w:rPr>
        <w:t>月</w:t>
      </w:r>
      <w:r>
        <w:rPr>
          <w:rFonts w:hint="eastAsia" w:ascii="Times New Roman" w:hAnsi="Times New Roman" w:eastAsia="宋体"/>
          <w:sz w:val="18"/>
          <w:szCs w:val="18"/>
        </w:rPr>
        <w:t>26</w:t>
      </w:r>
      <w:r>
        <w:rPr>
          <w:rFonts w:ascii="Times New Roman" w:hAnsi="Times New Roman" w:eastAsia="宋体"/>
          <w:sz w:val="18"/>
          <w:szCs w:val="18"/>
        </w:rPr>
        <w:t>日</w:t>
      </w:r>
      <w:r>
        <w:rPr>
          <w:rFonts w:hint="eastAsia" w:ascii="Times New Roman" w:hAnsi="Times New Roman" w:eastAsia="宋体"/>
          <w:sz w:val="18"/>
          <w:szCs w:val="18"/>
        </w:rPr>
        <w:t>05版。</w:t>
      </w:r>
    </w:p>
    <w:p w14:paraId="4EF5C068">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（2）英文报纸</w:t>
      </w:r>
    </w:p>
    <w:p w14:paraId="622CFB67">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 xml:space="preserve">体例：作者姓名, 年份, </w:t>
      </w:r>
      <w:r>
        <w:rPr>
          <w:rFonts w:ascii="Times New Roman" w:hAnsi="Times New Roman" w:eastAsia="宋体"/>
          <w:sz w:val="18"/>
          <w:szCs w:val="18"/>
        </w:rPr>
        <w:t>“论文题目”,</w:t>
      </w:r>
      <w:r>
        <w:rPr>
          <w:rFonts w:hint="eastAsia" w:ascii="Times New Roman" w:hAnsi="Times New Roman" w:eastAsia="宋体"/>
          <w:sz w:val="18"/>
          <w:szCs w:val="18"/>
        </w:rPr>
        <w:t xml:space="preserve"> </w:t>
      </w:r>
      <w:r>
        <w:rPr>
          <w:rFonts w:hint="eastAsia" w:ascii="Times New Roman" w:hAnsi="Times New Roman" w:eastAsia="宋体"/>
          <w:i/>
          <w:iCs/>
          <w:sz w:val="18"/>
          <w:szCs w:val="18"/>
        </w:rPr>
        <w:t>报纸名称</w:t>
      </w:r>
      <w:r>
        <w:rPr>
          <w:rFonts w:ascii="Times New Roman" w:hAnsi="Times New Roman" w:eastAsia="宋体"/>
          <w:sz w:val="18"/>
          <w:szCs w:val="18"/>
        </w:rPr>
        <w:t xml:space="preserve">, </w:t>
      </w:r>
      <w:r>
        <w:rPr>
          <w:rFonts w:hint="eastAsia" w:ascii="Times New Roman" w:hAnsi="Times New Roman" w:eastAsia="宋体"/>
          <w:sz w:val="18"/>
          <w:szCs w:val="18"/>
        </w:rPr>
        <w:t>文献来源或网址</w:t>
      </w:r>
      <w:r>
        <w:rPr>
          <w:rFonts w:ascii="Times New Roman" w:hAnsi="Times New Roman" w:eastAsia="宋体"/>
          <w:sz w:val="18"/>
          <w:szCs w:val="18"/>
        </w:rPr>
        <w:t>.</w:t>
      </w:r>
    </w:p>
    <w:p w14:paraId="1A812603">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Bert, H., 2016, “China’s Role in Efforts to Eradicate Poverty”, </w:t>
      </w:r>
      <w:r>
        <w:rPr>
          <w:rFonts w:ascii="Times New Roman" w:hAnsi="Times New Roman" w:eastAsia="宋体"/>
          <w:i/>
          <w:sz w:val="18"/>
          <w:szCs w:val="18"/>
        </w:rPr>
        <w:t>China Daily</w:t>
      </w:r>
      <w:r>
        <w:rPr>
          <w:rFonts w:ascii="Times New Roman" w:hAnsi="Times New Roman" w:eastAsia="宋体"/>
          <w:sz w:val="18"/>
          <w:szCs w:val="18"/>
        </w:rPr>
        <w:t xml:space="preserve">, </w:t>
      </w:r>
      <w:r>
        <w:fldChar w:fldCharType="begin"/>
      </w:r>
      <w:r>
        <w:instrText xml:space="preserve"> HYPERLINK "http://www.chinadaily.com.cn/opinion/2016-10/17/" </w:instrText>
      </w:r>
      <w:r>
        <w:fldChar w:fldCharType="separate"/>
      </w:r>
      <w:r>
        <w:rPr>
          <w:rStyle w:val="25"/>
          <w:rFonts w:hint="eastAsia" w:ascii="Times New Roman" w:hAnsi="Times New Roman" w:eastAsia="宋体"/>
          <w:color w:val="auto"/>
          <w:sz w:val="18"/>
          <w:szCs w:val="18"/>
        </w:rPr>
        <w:t>h</w:t>
      </w:r>
      <w:r>
        <w:rPr>
          <w:rStyle w:val="25"/>
          <w:rFonts w:ascii="Times New Roman" w:hAnsi="Times New Roman" w:eastAsia="宋体"/>
          <w:color w:val="auto"/>
          <w:sz w:val="18"/>
          <w:szCs w:val="18"/>
        </w:rPr>
        <w:t>ttp://www.chinadaily.com.cn/opinion/</w:t>
      </w:r>
      <w:r>
        <w:rPr>
          <w:rStyle w:val="25"/>
          <w:rFonts w:hint="eastAsia" w:ascii="Times New Roman" w:hAnsi="Times New Roman" w:eastAsia="宋体"/>
          <w:color w:val="auto"/>
          <w:sz w:val="18"/>
          <w:szCs w:val="18"/>
        </w:rPr>
        <w:t xml:space="preserve"> </w:t>
      </w:r>
      <w:r>
        <w:rPr>
          <w:rStyle w:val="25"/>
          <w:rFonts w:ascii="Times New Roman" w:hAnsi="Times New Roman" w:eastAsia="宋体"/>
          <w:color w:val="auto"/>
          <w:sz w:val="18"/>
          <w:szCs w:val="18"/>
        </w:rPr>
        <w:t>2016-10/17/</w:t>
      </w:r>
      <w:r>
        <w:rPr>
          <w:rStyle w:val="25"/>
          <w:rFonts w:ascii="Times New Roman" w:hAnsi="Times New Roman" w:eastAsia="宋体"/>
          <w:color w:val="auto"/>
          <w:sz w:val="18"/>
          <w:szCs w:val="18"/>
        </w:rPr>
        <w:fldChar w:fldCharType="end"/>
      </w:r>
      <w:r>
        <w:rPr>
          <w:rFonts w:ascii="Times New Roman" w:hAnsi="Times New Roman" w:eastAsia="宋体"/>
          <w:sz w:val="18"/>
          <w:szCs w:val="18"/>
        </w:rPr>
        <w:t>content_27078271.htm.</w:t>
      </w:r>
    </w:p>
    <w:p w14:paraId="1FD87102">
      <w:pPr>
        <w:spacing w:line="240" w:lineRule="atLeast"/>
        <w:ind w:firstLine="392" w:firstLineChars="200"/>
        <w:jc w:val="right"/>
        <w:rPr>
          <w:rFonts w:ascii="Times New Roman" w:hAnsi="Times New Roman" w:eastAsia="楷体" w:cs="Times New Roman"/>
          <w:color w:val="000000"/>
          <w:szCs w:val="22"/>
        </w:rPr>
      </w:pPr>
    </w:p>
    <w:p w14:paraId="29159F02">
      <w:pPr>
        <w:pStyle w:val="2"/>
        <w:rPr>
          <w:rFonts w:hint="eastAsia" w:eastAsia="楷体"/>
          <w:lang w:val="en-US" w:eastAsia="zh-CN"/>
        </w:rPr>
      </w:pPr>
    </w:p>
    <w:p w14:paraId="645B15B5">
      <w:pPr>
        <w:widowControl/>
        <w:spacing w:line="240" w:lineRule="atLeast"/>
        <w:rPr>
          <w:rFonts w:hint="eastAsia" w:ascii="黑体" w:hAnsi="黑体" w:eastAsia="黑体" w:cs="Times New Roman"/>
          <w:color w:val="1D41D5"/>
          <w:kern w:val="0"/>
          <w:szCs w:val="21"/>
        </w:rPr>
      </w:pPr>
    </w:p>
    <w:p w14:paraId="4DC24CBA">
      <w:pPr>
        <w:widowControl/>
        <w:spacing w:line="240" w:lineRule="atLeast"/>
        <w:rPr>
          <w:rFonts w:hint="eastAsia" w:ascii="黑体" w:hAnsi="黑体" w:eastAsia="黑体" w:cs="Times New Roman"/>
          <w:color w:val="1D41D5"/>
          <w:kern w:val="0"/>
          <w:szCs w:val="21"/>
        </w:rPr>
      </w:pPr>
    </w:p>
    <w:p w14:paraId="3BF1D934">
      <w:pPr>
        <w:rPr>
          <w:rFonts w:hint="eastAsia" w:ascii="黑体" w:hAnsi="黑体" w:eastAsia="黑体" w:cs="Times New Roman"/>
          <w:color w:val="1D41D5"/>
          <w:kern w:val="0"/>
          <w:szCs w:val="21"/>
        </w:rPr>
      </w:pPr>
      <w:r>
        <w:rPr>
          <w:rFonts w:hint="eastAsia" w:ascii="黑体" w:hAnsi="黑体" w:eastAsia="黑体" w:cs="Times New Roman"/>
          <w:color w:val="1D41D5"/>
          <w:kern w:val="0"/>
          <w:szCs w:val="21"/>
        </w:rPr>
        <w:br w:type="page"/>
      </w:r>
    </w:p>
    <w:p w14:paraId="6F9BD970">
      <w:pPr>
        <w:widowControl/>
        <w:spacing w:line="240" w:lineRule="atLeast"/>
        <w:rPr>
          <w:rFonts w:hint="default" w:ascii="黑体" w:hAnsi="黑体" w:eastAsia="黑体" w:cs="Times New Roman"/>
          <w:color w:val="1D41D5"/>
          <w:kern w:val="0"/>
          <w:szCs w:val="21"/>
          <w:lang w:val="en-US" w:eastAsia="zh-CN"/>
        </w:rPr>
      </w:pPr>
      <w:r>
        <w:rPr>
          <w:rFonts w:hint="eastAsia" w:ascii="黑体" w:hAnsi="黑体" w:eastAsia="黑体" w:cs="Times New Roman"/>
          <w:color w:val="1D41D5"/>
          <w:kern w:val="0"/>
          <w:szCs w:val="21"/>
        </w:rPr>
        <w:t>【</w:t>
      </w:r>
      <w:r>
        <w:rPr>
          <w:rFonts w:hint="eastAsia" w:ascii="黑体" w:hAnsi="黑体" w:eastAsia="黑体" w:cs="Times New Roman"/>
          <w:color w:val="1D41D5"/>
          <w:kern w:val="0"/>
          <w:szCs w:val="21"/>
          <w:lang w:val="en-US" w:eastAsia="zh-CN"/>
        </w:rPr>
        <w:t>英文长摘要</w:t>
      </w:r>
      <w:r>
        <w:rPr>
          <w:rFonts w:hint="eastAsia" w:ascii="黑体" w:hAnsi="黑体" w:eastAsia="黑体" w:cs="Times New Roman"/>
          <w:color w:val="1D41D5"/>
          <w:kern w:val="0"/>
          <w:szCs w:val="21"/>
        </w:rPr>
        <w:t>】</w:t>
      </w:r>
      <w:r>
        <w:rPr>
          <w:rFonts w:hint="eastAsia" w:ascii="黑体" w:hAnsi="黑体" w:eastAsia="黑体" w:cs="Times New Roman"/>
          <w:color w:val="1D41D5"/>
          <w:kern w:val="0"/>
          <w:szCs w:val="21"/>
          <w:lang w:val="en-US" w:eastAsia="zh-CN"/>
        </w:rPr>
        <w:t>：独立一页</w:t>
      </w:r>
    </w:p>
    <w:p w14:paraId="3BA3DDDC">
      <w:pPr>
        <w:spacing w:line="240" w:lineRule="atLeast"/>
        <w:jc w:val="center"/>
        <w:rPr>
          <w:rFonts w:hint="eastAsia" w:ascii="Times New Roman" w:hAnsi="Times New Roman" w:eastAsia="楷体" w:cs="Times New Roman"/>
          <w:b/>
          <w:color w:val="000000"/>
          <w:spacing w:val="-8"/>
          <w:sz w:val="28"/>
          <w:szCs w:val="28"/>
        </w:rPr>
      </w:pPr>
      <w:r>
        <w:rPr>
          <w:rFonts w:hint="default" w:ascii="Times New Roman" w:hAnsi="Times New Roman" w:eastAsia="楷体" w:cs="Times New Roman"/>
          <w:b/>
          <w:color w:val="000000"/>
          <w:spacing w:val="-8"/>
          <w:sz w:val="28"/>
          <w:szCs w:val="28"/>
          <w:lang w:val="en-US" w:eastAsia="zh-CN"/>
        </w:rPr>
        <w:fldChar w:fldCharType="begin">
          <w:fldData xml:space="preserve">ZQBKAHoAdABYAFEAMQAwAFYATgBXAGQAdgB5ADgAegBtAFoAbABjADAAaQBXAEcAagA4ADEARwB1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</w:fldData>
        </w:fldChar>
      </w:r>
      <w:r>
        <w:rPr>
          <w:rFonts w:hint="eastAsia" w:ascii="Times New Roman" w:hAnsi="Times New Roman" w:eastAsia="楷体" w:cs="Times New Roman"/>
          <w:b/>
          <w:color w:val="000000"/>
          <w:spacing w:val="-8"/>
          <w:sz w:val="28"/>
          <w:szCs w:val="28"/>
          <w:lang w:val="en-US" w:eastAsia="zh-CN"/>
        </w:rPr>
        <w:instrText xml:space="preserve">ADDIN CNKISM.UserStyle</w:instrText>
      </w:r>
      <w:r>
        <w:rPr>
          <w:rFonts w:hint="default" w:ascii="Times New Roman" w:hAnsi="Times New Roman" w:eastAsia="楷体" w:cs="Times New Roman"/>
          <w:b/>
          <w:color w:val="000000"/>
          <w:spacing w:val="-8"/>
          <w:sz w:val="28"/>
          <w:szCs w:val="28"/>
          <w:lang w:val="en-US" w:eastAsia="zh-CN"/>
        </w:rPr>
        <w:fldChar w:fldCharType="separate"/>
      </w:r>
      <w:r>
        <w:rPr>
          <w:rFonts w:hint="default" w:ascii="Times New Roman" w:hAnsi="Times New Roman" w:eastAsia="楷体" w:cs="Times New Roman"/>
          <w:b/>
          <w:color w:val="000000"/>
          <w:spacing w:val="-8"/>
          <w:sz w:val="28"/>
          <w:szCs w:val="28"/>
          <w:lang w:val="en-US" w:eastAsia="zh-CN"/>
        </w:rPr>
        <w:fldChar w:fldCharType="end"/>
      </w:r>
      <w:r>
        <w:rPr>
          <w:rFonts w:hint="default" w:ascii="Times New Roman" w:hAnsi="Times New Roman" w:eastAsia="楷体" w:cs="Times New Roman"/>
          <w:b/>
          <w:color w:val="000000"/>
          <w:spacing w:val="-8"/>
          <w:sz w:val="28"/>
          <w:szCs w:val="28"/>
          <w:lang w:val="en-US" w:eastAsia="zh-CN"/>
        </w:rPr>
        <w:t>Platform-Based New Retail Enterprises-Driven Pathways and Models for Specialized Agricultural Industrial Upgrading</w:t>
      </w:r>
    </w:p>
    <w:p w14:paraId="44740179">
      <w:pPr>
        <w:widowControl/>
        <w:spacing w:line="240" w:lineRule="atLeast"/>
        <w:jc w:val="center"/>
        <w:rPr>
          <w:rFonts w:hint="eastAsia" w:ascii="Times New Roman" w:hAnsi="Times New Roman" w:eastAsia="宋体" w:cs="Times New Roman"/>
          <w:bCs/>
          <w:color w:val="FF0000"/>
          <w:kern w:val="0"/>
          <w:szCs w:val="21"/>
          <w:lang w:eastAsia="zh-CN"/>
        </w:rPr>
      </w:pPr>
      <w:r>
        <w:rPr>
          <w:rFonts w:hint="eastAsia" w:ascii="Times New Roman" w:hAnsi="Times New Roman" w:eastAsia="宋体" w:cs="Times New Roman"/>
          <w:bCs/>
          <w:color w:val="FF0000"/>
          <w:kern w:val="0"/>
          <w:szCs w:val="21"/>
        </w:rPr>
        <w:t>（英文标题：四号Times</w:t>
      </w:r>
      <w:r>
        <w:rPr>
          <w:rFonts w:ascii="Times New Roman" w:hAnsi="Times New Roman" w:eastAsia="宋体" w:cs="Times New Roman"/>
          <w:bCs/>
          <w:color w:val="FF0000"/>
          <w:kern w:val="0"/>
          <w:szCs w:val="21"/>
        </w:rPr>
        <w:t xml:space="preserve"> </w:t>
      </w:r>
      <w:r>
        <w:rPr>
          <w:rFonts w:hint="eastAsia" w:ascii="Times New Roman" w:hAnsi="Times New Roman" w:eastAsia="宋体" w:cs="Times New Roman"/>
          <w:bCs/>
          <w:color w:val="FF0000"/>
          <w:kern w:val="0"/>
          <w:szCs w:val="21"/>
        </w:rPr>
        <w:t>New</w:t>
      </w:r>
      <w:r>
        <w:rPr>
          <w:rFonts w:ascii="Times New Roman" w:hAnsi="Times New Roman" w:eastAsia="宋体" w:cs="Times New Roman"/>
          <w:bCs/>
          <w:color w:val="FF0000"/>
          <w:kern w:val="0"/>
          <w:szCs w:val="21"/>
        </w:rPr>
        <w:t xml:space="preserve"> </w:t>
      </w:r>
      <w:r>
        <w:rPr>
          <w:rFonts w:hint="eastAsia" w:ascii="Times New Roman" w:hAnsi="Times New Roman" w:eastAsia="宋体" w:cs="Times New Roman"/>
          <w:bCs/>
          <w:color w:val="FF0000"/>
          <w:kern w:val="0"/>
          <w:szCs w:val="21"/>
        </w:rPr>
        <w:t>Roman，居中，加粗，</w:t>
      </w:r>
      <w:r>
        <w:rPr>
          <w:rFonts w:hint="eastAsia" w:ascii="Times New Roman" w:hAnsi="Times New Roman" w:eastAsia="宋体" w:cs="Times New Roman"/>
          <w:bCs/>
          <w:color w:val="FF0000"/>
          <w:kern w:val="0"/>
          <w:szCs w:val="21"/>
          <w:lang w:val="en-US" w:eastAsia="zh-CN"/>
        </w:rPr>
        <w:t>实词</w:t>
      </w:r>
      <w:r>
        <w:rPr>
          <w:rFonts w:hint="eastAsia" w:ascii="Times New Roman" w:hAnsi="Times New Roman" w:eastAsia="宋体" w:cs="Times New Roman"/>
          <w:bCs/>
          <w:color w:val="FF0000"/>
          <w:kern w:val="0"/>
          <w:szCs w:val="21"/>
        </w:rPr>
        <w:t>首字母大写</w:t>
      </w:r>
      <w:r>
        <w:rPr>
          <w:rFonts w:hint="eastAsia" w:ascii="Times New Roman" w:hAnsi="Times New Roman" w:eastAsia="宋体" w:cs="Times New Roman"/>
          <w:bCs/>
          <w:color w:val="FF0000"/>
          <w:kern w:val="0"/>
          <w:szCs w:val="21"/>
          <w:lang w:eastAsia="zh-CN"/>
        </w:rPr>
        <w:t>）</w:t>
      </w:r>
    </w:p>
    <w:p w14:paraId="14547E18">
      <w:pPr>
        <w:widowControl/>
        <w:spacing w:line="240" w:lineRule="atLeast"/>
        <w:jc w:val="center"/>
        <w:rPr>
          <w:rFonts w:ascii="Times New Roman" w:hAnsi="Times New Roman" w:eastAsia="宋体" w:cs="Times New Roman"/>
          <w:bCs/>
          <w:color w:val="FF0000"/>
          <w:kern w:val="0"/>
          <w:szCs w:val="21"/>
        </w:rPr>
      </w:pPr>
      <w:r>
        <w:rPr>
          <w:rFonts w:hint="eastAsia" w:ascii="Times New Roman" w:hAnsi="Times New Roman" w:eastAsia="宋体" w:cs="Times New Roman"/>
          <w:bCs/>
          <w:color w:val="FF0000"/>
          <w:kern w:val="0"/>
          <w:szCs w:val="21"/>
          <w:lang w:val="en-US" w:eastAsia="zh-CN"/>
        </w:rPr>
        <w:t>（</w:t>
      </w:r>
      <w:r>
        <w:rPr>
          <w:rFonts w:hint="eastAsia" w:ascii="Times New Roman" w:hAnsi="Times New Roman" w:eastAsia="宋体" w:cs="Times New Roman"/>
          <w:bCs/>
          <w:color w:val="FF0000"/>
          <w:kern w:val="0"/>
          <w:szCs w:val="21"/>
          <w:highlight w:val="yellow"/>
          <w:lang w:val="en-US" w:eastAsia="zh-CN"/>
        </w:rPr>
        <w:t>注意</w:t>
      </w:r>
      <w:r>
        <w:rPr>
          <w:rFonts w:hint="eastAsia" w:ascii="Times New Roman" w:hAnsi="Times New Roman" w:eastAsia="宋体" w:cs="Times New Roman"/>
          <w:bCs/>
          <w:color w:val="FF0000"/>
          <w:kern w:val="0"/>
          <w:szCs w:val="21"/>
          <w:lang w:val="en-US" w:eastAsia="zh-CN"/>
        </w:rPr>
        <w:t>：复合词中的实词首字母均大写</w:t>
      </w:r>
      <w:r>
        <w:rPr>
          <w:rFonts w:hint="eastAsia" w:ascii="Times New Roman" w:hAnsi="Times New Roman" w:eastAsia="宋体" w:cs="Times New Roman"/>
          <w:bCs/>
          <w:color w:val="FF0000"/>
          <w:kern w:val="0"/>
          <w:szCs w:val="21"/>
        </w:rPr>
        <w:t>）</w:t>
      </w:r>
    </w:p>
    <w:p w14:paraId="619AE48B">
      <w:pPr>
        <w:keepNext w:val="0"/>
        <w:keepLines w:val="0"/>
        <w:pageBreakBefore w:val="0"/>
        <w:widowControl w:val="0"/>
        <w:kinsoku/>
        <w:wordWrap/>
        <w:overflowPunct/>
        <w:topLinePunct w:val="0"/>
        <w:autoSpaceDE/>
        <w:autoSpaceDN/>
        <w:bidi w:val="0"/>
        <w:adjustRightInd/>
        <w:snapToGrid w:val="0"/>
        <w:spacing w:before="182" w:beforeLines="50"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XIE Zhij</w:t>
      </w:r>
      <w:r>
        <w:rPr>
          <w:rFonts w:hint="default" w:ascii="Times New Roman" w:hAnsi="Times New Roman" w:cs="Times New Roman"/>
          <w:sz w:val="24"/>
          <w:szCs w:val="24"/>
          <w:lang w:val="en-US" w:eastAsia="zh-CN"/>
        </w:rPr>
        <w:t>u</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xml:space="preserve">  HUANG Meiyi</w:t>
      </w:r>
      <w:r>
        <w:rPr>
          <w:rFonts w:hint="default" w:ascii="Times New Roman" w:hAnsi="Times New Roman" w:cs="Times New Roman"/>
          <w:sz w:val="24"/>
          <w:szCs w:val="24"/>
          <w:vertAlign w:val="superscript"/>
        </w:rPr>
        <w:t>2</w:t>
      </w:r>
    </w:p>
    <w:p w14:paraId="0048028A">
      <w:pPr>
        <w:keepNext w:val="0"/>
        <w:keepLines w:val="0"/>
        <w:pageBreakBefore w:val="0"/>
        <w:widowControl w:val="0"/>
        <w:numPr>
          <w:ilvl w:val="0"/>
          <w:numId w:val="1"/>
        </w:numP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18"/>
          <w:szCs w:val="18"/>
        </w:rPr>
      </w:pPr>
      <w:bookmarkStart w:id="23" w:name="_Hlk145105751"/>
      <w:r>
        <w:rPr>
          <w:rFonts w:hint="default" w:ascii="Times New Roman" w:hAnsi="Times New Roman" w:cs="Times New Roman"/>
          <w:sz w:val="18"/>
          <w:szCs w:val="18"/>
        </w:rPr>
        <w:t>School of Public Administration, Guangzhou University;</w:t>
      </w:r>
    </w:p>
    <w:p w14:paraId="02FF6CB0">
      <w:pPr>
        <w:keepNext w:val="0"/>
        <w:keepLines w:val="0"/>
        <w:pageBreakBefore w:val="0"/>
        <w:widowControl w:val="0"/>
        <w:numPr>
          <w:ilvl w:val="0"/>
          <w:numId w:val="2"/>
        </w:numPr>
        <w:kinsoku/>
        <w:wordWrap/>
        <w:overflowPunct/>
        <w:topLinePunct w:val="0"/>
        <w:autoSpaceDE/>
        <w:autoSpaceDN/>
        <w:bidi w:val="0"/>
        <w:adjustRightInd/>
        <w:snapToGrid w:val="0"/>
        <w:spacing w:after="182" w:afterLines="50" w:line="24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GuangZhou Railway Polytechnic)</w:t>
      </w:r>
    </w:p>
    <w:p w14:paraId="12347831">
      <w:pPr>
        <w:widowControl/>
        <w:spacing w:line="240" w:lineRule="atLeast"/>
        <w:rPr>
          <w:rFonts w:hint="eastAsia" w:ascii="Times New Roman" w:hAnsi="Times New Roman" w:eastAsia="宋体" w:cs="Times New Roman"/>
          <w:bCs/>
          <w:color w:val="FF0000"/>
          <w:kern w:val="0"/>
          <w:sz w:val="21"/>
          <w:szCs w:val="21"/>
        </w:rPr>
      </w:pPr>
      <w:r>
        <w:rPr>
          <w:rFonts w:hint="eastAsia" w:ascii="Times New Roman" w:hAnsi="Times New Roman" w:eastAsia="宋体" w:cs="Times New Roman"/>
          <w:bCs/>
          <w:color w:val="FF0000"/>
          <w:kern w:val="0"/>
          <w:szCs w:val="21"/>
        </w:rPr>
        <w:t>（英文姓名：姓前名后，中间为空格，姓氏全部字母和名的首字母大字，名连写，如：</w:t>
      </w:r>
      <w:r>
        <w:rPr>
          <w:rFonts w:hint="default" w:ascii="Times New Roman" w:hAnsi="Times New Roman" w:cs="Times New Roman"/>
          <w:color w:val="FF0000"/>
          <w:sz w:val="21"/>
          <w:szCs w:val="21"/>
        </w:rPr>
        <w:t>XIE Zhij</w:t>
      </w:r>
      <w:r>
        <w:rPr>
          <w:rFonts w:hint="default" w:ascii="Times New Roman" w:hAnsi="Times New Roman" w:cs="Times New Roman"/>
          <w:color w:val="FF0000"/>
          <w:sz w:val="21"/>
          <w:szCs w:val="21"/>
          <w:lang w:val="en-US" w:eastAsia="zh-CN"/>
        </w:rPr>
        <w:t>u</w:t>
      </w:r>
      <w:r>
        <w:rPr>
          <w:rFonts w:hint="eastAsia" w:ascii="Times New Roman" w:hAnsi="Times New Roman" w:eastAsia="宋体" w:cs="Times New Roman"/>
          <w:bCs/>
          <w:color w:val="FF0000"/>
          <w:kern w:val="0"/>
          <w:sz w:val="21"/>
          <w:szCs w:val="21"/>
        </w:rPr>
        <w:t xml:space="preserve">, </w:t>
      </w:r>
      <w:r>
        <w:rPr>
          <w:rFonts w:hint="default" w:ascii="Times New Roman" w:hAnsi="Times New Roman" w:cs="Times New Roman"/>
          <w:color w:val="FF0000"/>
          <w:sz w:val="21"/>
          <w:szCs w:val="21"/>
        </w:rPr>
        <w:t>HUANG Meiyi</w:t>
      </w:r>
      <w:r>
        <w:rPr>
          <w:rFonts w:hint="eastAsia" w:ascii="Times New Roman" w:hAnsi="Times New Roman" w:eastAsia="宋体" w:cs="Times New Roman"/>
          <w:bCs/>
          <w:color w:val="FF0000"/>
          <w:kern w:val="0"/>
          <w:sz w:val="21"/>
          <w:szCs w:val="21"/>
        </w:rPr>
        <w:t>；小四Times New Roman，居中。）</w:t>
      </w:r>
    </w:p>
    <w:bookmarkEnd w:id="23"/>
    <w:p w14:paraId="30733976">
      <w:pPr>
        <w:keepNext w:val="0"/>
        <w:keepLines w:val="0"/>
        <w:pageBreakBefore w:val="0"/>
        <w:widowControl w:val="0"/>
        <w:kinsoku/>
        <w:wordWrap/>
        <w:overflowPunct/>
        <w:topLinePunct w:val="0"/>
        <w:autoSpaceDE/>
        <w:autoSpaceDN/>
        <w:bidi w:val="0"/>
        <w:adjustRightInd/>
        <w:snapToGrid w:val="0"/>
        <w:spacing w:line="350" w:lineRule="exact"/>
        <w:ind w:firstLine="332" w:firstLineChars="200"/>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b/>
          <w:color w:val="000000"/>
          <w:sz w:val="18"/>
          <w:szCs w:val="18"/>
        </w:rPr>
        <w:t xml:space="preserve">Summary: </w:t>
      </w:r>
      <w:r>
        <w:rPr>
          <w:rFonts w:hint="default" w:ascii="Times New Roman" w:hAnsi="Times New Roman" w:eastAsia="宋体" w:cs="Times New Roman"/>
          <w:color w:val="000000"/>
          <w:sz w:val="18"/>
          <w:szCs w:val="18"/>
          <w:highlight w:val="none"/>
          <w:lang w:val="en-US" w:eastAsia="zh-CN"/>
        </w:rPr>
        <w:t xml:space="preserve">The new rural collective economy, with its clear organizational structure, standardized operational mechanisms, and fair distribution models, empowers rural development. It has become a key force in consolidating and expanding the achievements of poverty alleviation and promoting comprehensive rural revitalization. This type of economy, which ensures both economic and social benefits, has significant value in promoting collective economic growth, optimizing resource allocation, and enhancing market competitiveness. </w:t>
      </w:r>
      <w:r>
        <w:rPr>
          <w:rFonts w:hint="default" w:ascii="Times New Roman" w:hAnsi="Times New Roman" w:cs="Times New Roman"/>
          <w:color w:val="000000"/>
          <w:sz w:val="18"/>
          <w:szCs w:val="18"/>
        </w:rPr>
        <w:t>Lizhixu Village</w:t>
      </w:r>
      <w:r>
        <w:rPr>
          <w:rFonts w:hint="default" w:ascii="Times New Roman" w:hAnsi="Times New Roman" w:eastAsia="宋体" w:cs="Times New Roman"/>
          <w:color w:val="000000"/>
          <w:sz w:val="18"/>
          <w:szCs w:val="18"/>
          <w:highlight w:val="none"/>
          <w:lang w:val="en-US" w:eastAsia="zh-CN"/>
        </w:rPr>
        <w:t xml:space="preserve"> in Guangdong Province, Tangyue Village in Guizhou Province, and </w:t>
      </w:r>
      <w:r>
        <w:rPr>
          <w:rFonts w:hint="default" w:ascii="Times New Roman" w:hAnsi="Times New Roman" w:cs="Times New Roman"/>
          <w:color w:val="000000"/>
          <w:sz w:val="18"/>
          <w:szCs w:val="18"/>
        </w:rPr>
        <w:t>Yong’an Village</w:t>
      </w:r>
      <w:r>
        <w:rPr>
          <w:rFonts w:hint="default" w:ascii="Times New Roman" w:hAnsi="Times New Roman" w:eastAsia="宋体" w:cs="Times New Roman"/>
          <w:color w:val="000000"/>
          <w:sz w:val="18"/>
          <w:szCs w:val="18"/>
          <w:highlight w:val="none"/>
          <w:lang w:val="en-US" w:eastAsia="zh-CN"/>
        </w:rPr>
        <w:t xml:space="preserve"> in Zhejiang Province are typical examples of the effective operation of the new rural collective economy. This paper, based on embeddedness theory, establishes an analytical framework of </w:t>
      </w:r>
      <w:r>
        <w:rPr>
          <w:rFonts w:hint="default" w:ascii="Times New Roman" w:hAnsi="Times New Roman" w:cs="Times New Roman"/>
          <w:color w:val="000000"/>
          <w:sz w:val="18"/>
          <w:szCs w:val="18"/>
        </w:rPr>
        <w:t>“</w:t>
      </w:r>
      <w:r>
        <w:rPr>
          <w:rFonts w:hint="default" w:ascii="Times New Roman" w:hAnsi="Times New Roman" w:eastAsia="宋体" w:cs="Times New Roman"/>
          <w:color w:val="000000"/>
          <w:sz w:val="18"/>
          <w:szCs w:val="18"/>
          <w:highlight w:val="none"/>
          <w:lang w:val="en-US" w:eastAsia="zh-CN"/>
        </w:rPr>
        <w:t>organizational structure–operational mechanism–distribution model</w:t>
      </w:r>
      <w:r>
        <w:rPr>
          <w:rFonts w:hint="default" w:ascii="Times New Roman" w:hAnsi="Times New Roman" w:cs="Times New Roman"/>
          <w:color w:val="000000"/>
          <w:sz w:val="18"/>
          <w:szCs w:val="18"/>
        </w:rPr>
        <w:t>”</w:t>
      </w:r>
      <w:r>
        <w:rPr>
          <w:rFonts w:hint="default" w:ascii="Times New Roman" w:hAnsi="Times New Roman" w:eastAsia="宋体" w:cs="Times New Roman"/>
          <w:color w:val="000000"/>
          <w:sz w:val="18"/>
          <w:szCs w:val="18"/>
          <w:highlight w:val="none"/>
          <w:lang w:val="en-US" w:eastAsia="zh-CN"/>
        </w:rPr>
        <w:t xml:space="preserve"> from three dimensions: relational embedding, rule embedding, and value embedding. It explores the operational logic of the enterprise-based partnership model, the Party organization-led village-community integrated model, and the government-led strong village company model, aiming to extract the key elements for the effective operation of the new rural collective economy. </w:t>
      </w:r>
    </w:p>
    <w:p w14:paraId="43972DAD">
      <w:pPr>
        <w:keepNext w:val="0"/>
        <w:keepLines w:val="0"/>
        <w:pageBreakBefore w:val="0"/>
        <w:widowControl w:val="0"/>
        <w:kinsoku/>
        <w:wordWrap/>
        <w:overflowPunct/>
        <w:topLinePunct w:val="0"/>
        <w:autoSpaceDE/>
        <w:autoSpaceDN/>
        <w:bidi w:val="0"/>
        <w:adjustRightInd/>
        <w:snapToGrid w:val="0"/>
        <w:spacing w:line="350" w:lineRule="exact"/>
        <w:ind w:firstLine="332" w:firstLineChars="200"/>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 xml:space="preserve">The study finds that different organizational structures lead to differences in decision-making mechanisms, different operational mechanisms generate distinct governance characteristics, and different distribution models shape diverse value orientations. Specifically, at the organizational structure level, the </w:t>
      </w:r>
      <w:r>
        <w:rPr>
          <w:rFonts w:hint="default" w:ascii="Times New Roman" w:hAnsi="Times New Roman" w:cs="Times New Roman"/>
          <w:color w:val="000000"/>
          <w:sz w:val="18"/>
          <w:szCs w:val="18"/>
        </w:rPr>
        <w:t>“</w:t>
      </w:r>
      <w:r>
        <w:rPr>
          <w:rFonts w:hint="default" w:ascii="Times New Roman" w:hAnsi="Times New Roman" w:eastAsia="宋体" w:cs="Times New Roman"/>
          <w:color w:val="000000"/>
          <w:sz w:val="18"/>
          <w:szCs w:val="18"/>
          <w:highlight w:val="none"/>
          <w:lang w:val="en-US" w:eastAsia="zh-CN"/>
        </w:rPr>
        <w:t>multi-center governance structure</w:t>
      </w:r>
      <w:r>
        <w:rPr>
          <w:rFonts w:hint="default" w:ascii="Times New Roman" w:hAnsi="Times New Roman" w:cs="Times New Roman"/>
          <w:color w:val="000000"/>
          <w:sz w:val="18"/>
          <w:szCs w:val="18"/>
        </w:rPr>
        <w:t>”</w:t>
      </w:r>
      <w:r>
        <w:rPr>
          <w:rFonts w:hint="default" w:ascii="Times New Roman" w:hAnsi="Times New Roman" w:eastAsia="宋体" w:cs="Times New Roman"/>
          <w:color w:val="000000"/>
          <w:sz w:val="18"/>
          <w:szCs w:val="18"/>
          <w:highlight w:val="none"/>
          <w:lang w:val="en-US" w:eastAsia="zh-CN"/>
        </w:rPr>
        <w:t xml:space="preserve"> built by the state, market, and society not only meets the needs of multiple stakeholders for expressing their interests but also aligns with the requirements of complex governance. At the operational mechanism level, the embedding of formal rules and informal rules optimizes village collective resource allocation and improves the village management mechanism. At the distribution model level, value embedding based on interests, services, and emotions helps improve the quality and efficiency of rural collective economies and strengthens the construction of rural social communities. </w:t>
      </w:r>
    </w:p>
    <w:p w14:paraId="69008089">
      <w:pPr>
        <w:keepNext w:val="0"/>
        <w:keepLines w:val="0"/>
        <w:pageBreakBefore w:val="0"/>
        <w:widowControl w:val="0"/>
        <w:kinsoku/>
        <w:wordWrap/>
        <w:overflowPunct/>
        <w:topLinePunct w:val="0"/>
        <w:autoSpaceDE/>
        <w:autoSpaceDN/>
        <w:bidi w:val="0"/>
        <w:adjustRightInd/>
        <w:snapToGrid w:val="0"/>
        <w:spacing w:line="350" w:lineRule="exact"/>
        <w:ind w:firstLine="328" w:firstLineChars="200"/>
        <w:textAlignment w:val="auto"/>
        <w:rPr>
          <w:rFonts w:hint="default" w:ascii="Times New Roman" w:hAnsi="Times New Roman" w:cs="Times New Roman"/>
          <w:color w:val="000000"/>
          <w:spacing w:val="-1"/>
          <w:sz w:val="18"/>
          <w:szCs w:val="18"/>
        </w:rPr>
      </w:pPr>
      <w:r>
        <w:rPr>
          <w:rFonts w:hint="default" w:ascii="Times New Roman" w:hAnsi="Times New Roman" w:eastAsia="仿宋_GB2312" w:cs="Times New Roman"/>
          <w:b/>
          <w:bCs/>
          <w:color w:val="000000"/>
          <w:spacing w:val="-1"/>
          <w:sz w:val="18"/>
          <w:szCs w:val="18"/>
        </w:rPr>
        <w:t>Keywords:</w:t>
      </w:r>
      <w:r>
        <w:rPr>
          <w:rFonts w:hint="default" w:ascii="Times New Roman" w:hAnsi="Times New Roman" w:eastAsia="仿宋_GB2312" w:cs="Times New Roman"/>
          <w:color w:val="000000"/>
          <w:spacing w:val="-1"/>
          <w:sz w:val="18"/>
          <w:szCs w:val="18"/>
        </w:rPr>
        <w:t xml:space="preserve"> </w:t>
      </w:r>
      <w:r>
        <w:rPr>
          <w:rFonts w:hint="default" w:ascii="Times New Roman" w:hAnsi="Times New Roman" w:cs="Times New Roman"/>
          <w:color w:val="000000"/>
          <w:spacing w:val="-1"/>
          <w:sz w:val="18"/>
          <w:szCs w:val="18"/>
        </w:rPr>
        <w:t xml:space="preserve">New Rural Collective Economy; Partnership-Based Joint Operation; </w:t>
      </w:r>
      <w:r>
        <w:rPr>
          <w:rFonts w:hint="default" w:ascii="Times New Roman" w:hAnsi="Times New Roman" w:cs="Times New Roman"/>
          <w:color w:val="000000"/>
          <w:spacing w:val="-1"/>
          <w:sz w:val="18"/>
          <w:szCs w:val="18"/>
          <w:lang w:val="en-US" w:eastAsia="zh-CN"/>
        </w:rPr>
        <w:t>Strong Village</w:t>
      </w:r>
      <w:r>
        <w:rPr>
          <w:rFonts w:hint="default" w:ascii="Times New Roman" w:hAnsi="Times New Roman" w:cs="Times New Roman"/>
          <w:color w:val="000000"/>
          <w:spacing w:val="-1"/>
          <w:sz w:val="18"/>
          <w:szCs w:val="18"/>
        </w:rPr>
        <w:t xml:space="preserve"> Company; Rural Revitalization; Common Prosperity</w:t>
      </w:r>
    </w:p>
    <w:p w14:paraId="39CC5B25">
      <w:pPr>
        <w:widowControl/>
        <w:spacing w:line="240" w:lineRule="atLeast"/>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（英文摘要和关键词：</w:t>
      </w:r>
      <w:r>
        <w:rPr>
          <w:rFonts w:hint="default" w:ascii="Times New Roman" w:hAnsi="Times New Roman" w:eastAsia="宋体" w:cs="Times New Roman"/>
          <w:color w:val="FF0000"/>
          <w:kern w:val="0"/>
          <w:szCs w:val="21"/>
          <w:lang w:val="en-US" w:eastAsia="zh-CN"/>
        </w:rPr>
        <w:t>小</w:t>
      </w:r>
      <w:r>
        <w:rPr>
          <w:rFonts w:hint="default" w:ascii="Times New Roman" w:hAnsi="Times New Roman" w:eastAsia="宋体" w:cs="Times New Roman"/>
          <w:color w:val="FF0000"/>
          <w:kern w:val="0"/>
          <w:szCs w:val="21"/>
        </w:rPr>
        <w:t>五号Times New Roman，“</w:t>
      </w:r>
      <w:r>
        <w:rPr>
          <w:rFonts w:hint="default" w:ascii="Times New Roman" w:hAnsi="Times New Roman" w:cs="Times New Roman"/>
          <w:b/>
          <w:color w:val="FF0000"/>
          <w:sz w:val="18"/>
          <w:szCs w:val="18"/>
        </w:rPr>
        <w:t>Summary</w:t>
      </w:r>
      <w:r>
        <w:rPr>
          <w:rFonts w:hint="default" w:ascii="Times New Roman" w:hAnsi="Times New Roman" w:cs="Times New Roman"/>
          <w:b/>
          <w:color w:val="FF0000"/>
          <w:sz w:val="18"/>
          <w:szCs w:val="18"/>
          <w:lang w:eastAsia="zh-CN"/>
        </w:rPr>
        <w:t>：</w:t>
      </w:r>
      <w:r>
        <w:rPr>
          <w:rFonts w:hint="default" w:ascii="Times New Roman" w:hAnsi="Times New Roman" w:eastAsia="宋体" w:cs="Times New Roman"/>
          <w:color w:val="FF0000"/>
          <w:kern w:val="0"/>
          <w:szCs w:val="21"/>
        </w:rPr>
        <w:t>”和“</w:t>
      </w:r>
      <w:r>
        <w:rPr>
          <w:rFonts w:hint="default" w:ascii="Times New Roman" w:hAnsi="Times New Roman" w:eastAsia="仿宋_GB2312" w:cs="Times New Roman"/>
          <w:b/>
          <w:bCs/>
          <w:color w:val="FF0000"/>
          <w:spacing w:val="-1"/>
          <w:sz w:val="18"/>
          <w:szCs w:val="18"/>
        </w:rPr>
        <w:t>Keywords</w:t>
      </w:r>
      <w:r>
        <w:rPr>
          <w:rFonts w:hint="default" w:ascii="Times New Roman" w:hAnsi="Times New Roman" w:eastAsia="宋体" w:cs="Times New Roman"/>
          <w:color w:val="FF0000"/>
          <w:kern w:val="0"/>
          <w:szCs w:val="21"/>
        </w:rPr>
        <w:t>”加粗，首行缩进）</w:t>
      </w:r>
    </w:p>
    <w:p w14:paraId="7FF50899">
      <w:pPr>
        <w:keepNext w:val="0"/>
        <w:keepLines w:val="0"/>
        <w:pageBreakBefore w:val="0"/>
        <w:widowControl w:val="0"/>
        <w:kinsoku/>
        <w:wordWrap/>
        <w:overflowPunct/>
        <w:topLinePunct w:val="0"/>
        <w:autoSpaceDE/>
        <w:autoSpaceDN/>
        <w:bidi w:val="0"/>
        <w:adjustRightInd/>
        <w:snapToGrid w:val="0"/>
        <w:spacing w:line="350" w:lineRule="exact"/>
        <w:ind w:firstLine="312" w:firstLineChars="200"/>
        <w:textAlignment w:val="auto"/>
        <w:rPr>
          <w:rFonts w:hint="default" w:ascii="Times New Roman" w:hAnsi="Times New Roman" w:eastAsia="楷体" w:cs="Times New Roman"/>
          <w:b w:val="0"/>
          <w:bCs w:val="0"/>
          <w:sz w:val="18"/>
          <w:szCs w:val="18"/>
          <w:lang w:val="en-US" w:eastAsia="zh-CN"/>
        </w:rPr>
      </w:pPr>
      <w:r>
        <w:rPr>
          <w:rFonts w:hint="default" w:ascii="Times New Roman" w:hAnsi="Times New Roman" w:eastAsia="仿宋_GB2312" w:cs="Times New Roman"/>
          <w:b/>
          <w:bCs/>
          <w:spacing w:val="-5"/>
          <w:sz w:val="18"/>
          <w:szCs w:val="18"/>
        </w:rPr>
        <w:t xml:space="preserve">JEL </w:t>
      </w:r>
      <w:r>
        <w:rPr>
          <w:rFonts w:hint="default" w:ascii="Times New Roman" w:hAnsi="Times New Roman" w:cs="Times New Roman"/>
          <w:b/>
          <w:bCs/>
          <w:sz w:val="18"/>
          <w:szCs w:val="18"/>
        </w:rPr>
        <w:t>Classification</w:t>
      </w:r>
      <w:r>
        <w:rPr>
          <w:rFonts w:hint="default" w:ascii="Times New Roman" w:hAnsi="Times New Roman" w:eastAsia="仿宋_GB2312" w:cs="Times New Roman"/>
          <w:b/>
          <w:bCs/>
          <w:spacing w:val="-5"/>
          <w:sz w:val="18"/>
          <w:szCs w:val="18"/>
        </w:rPr>
        <w:t xml:space="preserve">: </w:t>
      </w:r>
      <w:r>
        <w:rPr>
          <w:rFonts w:hint="default" w:ascii="Times New Roman" w:hAnsi="Times New Roman" w:eastAsia="楷体" w:cs="Times New Roman"/>
          <w:b w:val="0"/>
          <w:bCs w:val="0"/>
          <w:sz w:val="18"/>
          <w:szCs w:val="18"/>
          <w:lang w:val="en-US" w:eastAsia="zh-CN"/>
        </w:rPr>
        <w:t>P32</w:t>
      </w:r>
      <w:r>
        <w:rPr>
          <w:rFonts w:hint="default"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rPr>
        <w:t xml:space="preserve"> </w:t>
      </w:r>
      <w:r>
        <w:rPr>
          <w:rFonts w:hint="default" w:ascii="Times New Roman" w:hAnsi="Times New Roman" w:eastAsia="楷体" w:cs="Times New Roman"/>
          <w:b w:val="0"/>
          <w:bCs w:val="0"/>
          <w:sz w:val="18"/>
          <w:szCs w:val="18"/>
          <w:lang w:val="en-US" w:eastAsia="zh-CN"/>
        </w:rPr>
        <w:t>Q15</w:t>
      </w:r>
    </w:p>
    <w:p w14:paraId="07C6AF12">
      <w:pPr>
        <w:widowControl/>
        <w:spacing w:line="240" w:lineRule="atLeast"/>
        <w:rPr>
          <w:rFonts w:hint="eastAsia"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w:t>
      </w:r>
      <w:r>
        <w:rPr>
          <w:rFonts w:hint="eastAsia" w:ascii="Times New Roman" w:hAnsi="Times New Roman" w:eastAsia="宋体" w:cs="Times New Roman"/>
          <w:color w:val="FF0000"/>
          <w:kern w:val="0"/>
          <w:szCs w:val="21"/>
          <w:lang w:val="en-US" w:eastAsia="zh-CN"/>
        </w:rPr>
        <w:t>按照美国经济学会《经济文献杂志》（Journal of Economic Literature）所创立的对经济学文献的主题分类系统，选择对应或相关的分类号）</w:t>
      </w:r>
    </w:p>
    <w:p w14:paraId="185F2BD1">
      <w:pPr>
        <w:widowControl/>
        <w:spacing w:line="240" w:lineRule="atLeast"/>
        <w:rPr>
          <w:rFonts w:ascii="黑体" w:hAnsi="黑体" w:eastAsia="黑体" w:cs="Times New Roman"/>
          <w:color w:val="FF0000"/>
          <w:kern w:val="0"/>
          <w:szCs w:val="21"/>
        </w:rPr>
      </w:pPr>
      <w:r>
        <w:rPr>
          <w:rFonts w:hint="eastAsia" w:ascii="黑体" w:hAnsi="黑体" w:eastAsia="黑体" w:cs="Times New Roman"/>
          <w:color w:val="FF0000"/>
          <w:kern w:val="0"/>
          <w:szCs w:val="21"/>
        </w:rPr>
        <w:t>【</w:t>
      </w:r>
      <w:r>
        <w:rPr>
          <w:rFonts w:hint="eastAsia" w:ascii="黑体" w:hAnsi="黑体" w:eastAsia="黑体" w:cs="Times New Roman"/>
          <w:color w:val="FF0000"/>
          <w:kern w:val="0"/>
          <w:szCs w:val="21"/>
          <w:lang w:val="en-US" w:eastAsia="zh-CN"/>
        </w:rPr>
        <w:t>对于英文长摘要中连接号的规范</w:t>
      </w:r>
      <w:r>
        <w:rPr>
          <w:rFonts w:hint="eastAsia" w:ascii="黑体" w:hAnsi="黑体" w:eastAsia="黑体" w:cs="Times New Roman"/>
          <w:color w:val="FF0000"/>
          <w:kern w:val="0"/>
          <w:szCs w:val="21"/>
        </w:rPr>
        <w:t>】</w:t>
      </w:r>
    </w:p>
    <w:p w14:paraId="33101EE5">
      <w:pPr>
        <w:keepNext w:val="0"/>
        <w:keepLines w:val="0"/>
        <w:pageBreakBefore w:val="0"/>
        <w:numPr>
          <w:ilvl w:val="0"/>
          <w:numId w:val="3"/>
        </w:numPr>
        <w:kinsoku/>
        <w:wordWrap/>
        <w:overflowPunct/>
        <w:topLinePunct w:val="0"/>
        <w:autoSpaceDE/>
        <w:autoSpaceDN/>
        <w:bidi w:val="0"/>
        <w:adjustRightInd/>
        <w:snapToGrid/>
        <w:spacing w:line="360" w:lineRule="exact"/>
        <w:ind w:firstLine="392" w:firstLineChars="200"/>
        <w:textAlignment w:val="auto"/>
        <w:rPr>
          <w:rFonts w:hint="default" w:ascii="Times New Roman" w:hAnsi="Times New Roman" w:cs="Times New Roman"/>
          <w:lang w:val="en-US" w:eastAsia="zh-CN"/>
        </w:rPr>
      </w:pPr>
      <w:r>
        <w:rPr>
          <w:rFonts w:hint="eastAsia"/>
          <w:lang w:val="en-US" w:eastAsia="zh-CN"/>
        </w:rPr>
        <w:t>引号（双引号和单引号）不使用撇的形式（</w:t>
      </w:r>
      <w:r>
        <w:rPr>
          <w:rFonts w:hint="default" w:cs="Times New Roman" w:asciiTheme="majorAscii" w:hAnsiTheme="majorAscii"/>
          <w:color w:val="000000"/>
          <w:sz w:val="18"/>
          <w:szCs w:val="18"/>
        </w:rPr>
        <w:t>“</w:t>
      </w:r>
      <w:r>
        <w:rPr>
          <w:rFonts w:hint="eastAsia" w:cs="Times New Roman" w:asciiTheme="majorAscii" w:hAnsiTheme="majorAscii"/>
          <w:color w:val="000000"/>
          <w:sz w:val="18"/>
          <w:szCs w:val="18"/>
          <w:lang w:val="en-US" w:eastAsia="zh-CN"/>
        </w:rPr>
        <w:t xml:space="preserve"> </w:t>
      </w:r>
      <w:r>
        <w:rPr>
          <w:rFonts w:hint="default" w:cs="Times New Roman" w:asciiTheme="majorAscii" w:hAnsiTheme="majorAscii"/>
          <w:color w:val="000000"/>
          <w:sz w:val="18"/>
          <w:szCs w:val="18"/>
          <w:lang w:eastAsia="zh-CN"/>
        </w:rPr>
        <w:t>”</w:t>
      </w:r>
      <w:r>
        <w:rPr>
          <w:rFonts w:hint="eastAsia" w:cs="Times New Roman" w:asciiTheme="majorAscii" w:hAnsiTheme="majorAscii"/>
          <w:color w:val="000000"/>
          <w:sz w:val="18"/>
          <w:szCs w:val="18"/>
          <w:lang w:eastAsia="zh-CN"/>
        </w:rPr>
        <w:t>），</w:t>
      </w:r>
      <w:r>
        <w:rPr>
          <w:rFonts w:hint="eastAsia"/>
          <w:b/>
          <w:bCs/>
          <w:lang w:val="en-US" w:eastAsia="zh-CN"/>
        </w:rPr>
        <w:t>要用逗点的形式</w:t>
      </w:r>
      <w:r>
        <w:rPr>
          <w:rFonts w:hint="eastAsia"/>
          <w:lang w:val="en-US" w:eastAsia="zh-CN"/>
        </w:rPr>
        <w:t>，如：</w:t>
      </w:r>
      <w:r>
        <w:rPr>
          <w:rFonts w:hint="default" w:ascii="Times New Roman" w:hAnsi="Times New Roman" w:cs="Times New Roman"/>
          <w:color w:val="000000"/>
          <w:sz w:val="18"/>
          <w:szCs w:val="18"/>
          <w:highlight w:val="yellow"/>
        </w:rPr>
        <w:t>“</w:t>
      </w:r>
      <w:r>
        <w:rPr>
          <w:rFonts w:hint="default" w:ascii="Times New Roman" w:hAnsi="Times New Roman" w:eastAsia="宋体" w:cs="Times New Roman"/>
          <w:color w:val="000000"/>
          <w:sz w:val="18"/>
          <w:szCs w:val="18"/>
          <w:highlight w:val="none"/>
          <w:lang w:val="en-US" w:eastAsia="zh-CN"/>
        </w:rPr>
        <w:t>organizational structure</w:t>
      </w:r>
      <w:r>
        <w:rPr>
          <w:rFonts w:hint="default" w:ascii="Times New Roman" w:hAnsi="Times New Roman" w:cs="Times New Roman"/>
          <w:color w:val="000000"/>
          <w:sz w:val="18"/>
          <w:szCs w:val="18"/>
          <w:highlight w:val="none"/>
          <w:lang w:val="en-US" w:eastAsia="zh-CN"/>
        </w:rPr>
        <w:t>—</w:t>
      </w:r>
      <w:r>
        <w:rPr>
          <w:rFonts w:hint="default" w:ascii="Times New Roman" w:hAnsi="Times New Roman" w:eastAsia="宋体" w:cs="Times New Roman"/>
          <w:color w:val="000000"/>
          <w:sz w:val="18"/>
          <w:szCs w:val="18"/>
          <w:highlight w:val="none"/>
          <w:lang w:val="en-US" w:eastAsia="zh-CN"/>
        </w:rPr>
        <w:t>operational mechanism</w:t>
      </w:r>
      <w:r>
        <w:rPr>
          <w:rFonts w:hint="default" w:ascii="Times New Roman" w:hAnsi="Times New Roman" w:cs="Times New Roman"/>
          <w:color w:val="000000"/>
          <w:sz w:val="18"/>
          <w:szCs w:val="18"/>
          <w:highlight w:val="none"/>
          <w:lang w:val="en-US" w:eastAsia="zh-CN"/>
        </w:rPr>
        <w:t>—</w:t>
      </w:r>
      <w:r>
        <w:rPr>
          <w:rFonts w:hint="default" w:ascii="Times New Roman" w:hAnsi="Times New Roman" w:eastAsia="宋体" w:cs="Times New Roman"/>
          <w:color w:val="000000"/>
          <w:sz w:val="18"/>
          <w:szCs w:val="18"/>
          <w:highlight w:val="none"/>
          <w:lang w:val="en-US" w:eastAsia="zh-CN"/>
        </w:rPr>
        <w:t>distribution model</w:t>
      </w:r>
      <w:r>
        <w:rPr>
          <w:rFonts w:hint="default" w:ascii="Times New Roman" w:hAnsi="Times New Roman" w:cs="Times New Roman"/>
          <w:color w:val="000000"/>
          <w:sz w:val="18"/>
          <w:szCs w:val="18"/>
          <w:highlight w:val="yellow"/>
        </w:rPr>
        <w:t>”</w:t>
      </w:r>
      <w:r>
        <w:rPr>
          <w:rFonts w:hint="eastAsia" w:ascii="Times New Roman" w:hAnsi="Times New Roman" w:cs="Times New Roman"/>
          <w:color w:val="000000"/>
          <w:sz w:val="18"/>
          <w:szCs w:val="18"/>
          <w:lang w:eastAsia="zh-CN"/>
        </w:rPr>
        <w:t>；</w:t>
      </w:r>
    </w:p>
    <w:p w14:paraId="593F41A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p>
    <w:p w14:paraId="26303EC5">
      <w:pPr>
        <w:keepNext w:val="0"/>
        <w:keepLines w:val="0"/>
        <w:pageBreakBefore w:val="0"/>
        <w:numPr>
          <w:ilvl w:val="0"/>
          <w:numId w:val="3"/>
        </w:numPr>
        <w:kinsoku/>
        <w:wordWrap/>
        <w:overflowPunct/>
        <w:topLinePunct w:val="0"/>
        <w:autoSpaceDE/>
        <w:autoSpaceDN/>
        <w:bidi w:val="0"/>
        <w:adjustRightInd/>
        <w:snapToGrid/>
        <w:spacing w:line="360" w:lineRule="exact"/>
        <w:ind w:firstLine="392" w:firstLineChars="200"/>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连接号的格式</w:t>
      </w:r>
      <w:r>
        <w:rPr>
          <w:rFonts w:hint="eastAsia" w:ascii="Times New Roman" w:hAnsi="Times New Roman" w:cs="Times New Roman"/>
          <w:lang w:val="en-US" w:eastAsia="zh-CN"/>
        </w:rPr>
        <w:t>：</w:t>
      </w:r>
    </w:p>
    <w:p w14:paraId="6683EF6A">
      <w:pPr>
        <w:keepNext w:val="0"/>
        <w:keepLines w:val="0"/>
        <w:pageBreakBefore w:val="0"/>
        <w:widowControl/>
        <w:suppressLineNumbers w:val="0"/>
        <w:kinsoku/>
        <w:wordWrap/>
        <w:overflowPunct/>
        <w:topLinePunct w:val="0"/>
        <w:autoSpaceDE/>
        <w:autoSpaceDN/>
        <w:bidi w:val="0"/>
        <w:adjustRightInd/>
        <w:snapToGrid/>
        <w:spacing w:line="360" w:lineRule="exact"/>
        <w:ind w:firstLine="392" w:firstLineChars="200"/>
        <w:jc w:val="left"/>
        <w:textAlignment w:val="auto"/>
        <w:rPr>
          <w:rFonts w:hint="eastAsia" w:ascii="Times New Roman" w:hAnsi="Times New Roman" w:cs="Times New Roman"/>
          <w:sz w:val="21"/>
          <w:szCs w:val="21"/>
          <w:lang w:val="en-US" w:eastAsia="zh-CN"/>
        </w:rPr>
      </w:pPr>
      <w:r>
        <w:rPr>
          <w:rFonts w:hint="eastAsia" w:ascii="Times New Roman" w:hAnsi="Times New Roman" w:cs="Times New Roman"/>
          <w:lang w:val="en-US" w:eastAsia="zh-CN"/>
        </w:rPr>
        <w:t>例1：“</w:t>
      </w:r>
      <w:r>
        <w:rPr>
          <w:rFonts w:hint="eastAsia" w:eastAsia="楷体" w:cs="楷体"/>
          <w:color w:val="000000"/>
          <w:szCs w:val="21"/>
          <w:lang w:val="en-US" w:eastAsia="zh-CN"/>
        </w:rPr>
        <w:t>本</w:t>
      </w:r>
      <w:r>
        <w:rPr>
          <w:rFonts w:hint="eastAsia" w:eastAsia="楷体" w:cs="楷体"/>
          <w:color w:val="000000"/>
          <w:szCs w:val="21"/>
        </w:rPr>
        <w:t>文以嵌入性理论为基础，从关系嵌入、规则嵌入、价值嵌入三个维度出发，搭建</w:t>
      </w:r>
      <w:r>
        <w:rPr>
          <w:rFonts w:hint="eastAsia" w:eastAsia="楷体" w:cs="楷体"/>
          <w:color w:val="000000"/>
          <w:szCs w:val="21"/>
          <w:highlight w:val="yellow"/>
          <w:lang w:eastAsia="zh-CN"/>
        </w:rPr>
        <w:t>‘</w:t>
      </w:r>
      <w:r>
        <w:rPr>
          <w:rFonts w:hint="eastAsia" w:eastAsia="楷体" w:cs="楷体"/>
          <w:color w:val="000000"/>
          <w:szCs w:val="21"/>
          <w:highlight w:val="yellow"/>
        </w:rPr>
        <w:t>组织结构－运营机制－分配模式</w:t>
      </w:r>
      <w:r>
        <w:rPr>
          <w:rFonts w:hint="eastAsia" w:eastAsia="楷体" w:cs="楷体"/>
          <w:color w:val="000000"/>
          <w:szCs w:val="21"/>
          <w:highlight w:val="yellow"/>
          <w:lang w:eastAsia="zh-CN"/>
        </w:rPr>
        <w:t>’</w:t>
      </w:r>
      <w:r>
        <w:rPr>
          <w:rFonts w:hint="eastAsia" w:eastAsia="楷体" w:cs="楷体"/>
          <w:color w:val="000000"/>
          <w:szCs w:val="21"/>
        </w:rPr>
        <w:t>的分析框架，选取广东省荔枝圩村企业化运作的合股联营模式、贵州省塘约村党组织领办的村社合一模式、浙江省永安村政府主导下的强村公司模式为研究对象，运用多案例分析方法，探讨新型农村集体经济有效运行的逻辑。</w:t>
      </w:r>
      <w:r>
        <w:rPr>
          <w:rFonts w:hint="eastAsia" w:eastAsia="楷体" w:cs="楷体"/>
          <w:color w:val="000000"/>
          <w:szCs w:val="21"/>
          <w:lang w:eastAsia="zh-CN"/>
        </w:rPr>
        <w:t>”</w:t>
      </w:r>
      <w:r>
        <w:rPr>
          <w:rFonts w:hint="eastAsia" w:ascii="Times New Roman" w:hAnsi="Times New Roman" w:cs="Times New Roman"/>
          <w:lang w:val="en-US" w:eastAsia="zh-CN"/>
        </w:rPr>
        <w:t>对于句中“</w:t>
      </w:r>
      <w:r>
        <w:rPr>
          <w:rFonts w:hint="eastAsia" w:eastAsia="楷体" w:cs="楷体"/>
          <w:color w:val="000000"/>
          <w:szCs w:val="21"/>
          <w:highlight w:val="yellow"/>
        </w:rPr>
        <w:t>－</w:t>
      </w:r>
      <w:r>
        <w:rPr>
          <w:rFonts w:hint="eastAsia" w:ascii="Times New Roman" w:hAnsi="Times New Roman" w:cs="Times New Roman"/>
          <w:lang w:val="en-US" w:eastAsia="zh-CN"/>
        </w:rPr>
        <w:t>”的翻译，用</w:t>
      </w:r>
      <w:r>
        <w:rPr>
          <w:rFonts w:hint="eastAsia" w:ascii="Times New Roman" w:hAnsi="Times New Roman" w:cs="Times New Roman"/>
          <w:b/>
          <w:bCs/>
          <w:highlight w:val="none"/>
          <w:lang w:val="en-US" w:eastAsia="zh-CN"/>
        </w:rPr>
        <w:t>英文的连接号</w:t>
      </w:r>
      <w:r>
        <w:rPr>
          <w:rFonts w:hint="eastAsia" w:ascii="Times New Roman" w:hAnsi="Times New Roman" w:cs="Times New Roman"/>
          <w:lang w:val="en-US" w:eastAsia="zh-CN"/>
        </w:rPr>
        <w:t>（en dash）“</w:t>
      </w:r>
      <w:r>
        <w:rPr>
          <w:rFonts w:hint="default" w:ascii="Times New Roman" w:hAnsi="Times New Roman" w:eastAsia="宋体" w:cs="Times New Roman"/>
          <w:color w:val="000000"/>
          <w:sz w:val="18"/>
          <w:szCs w:val="18"/>
          <w:highlight w:val="cyan"/>
          <w:lang w:val="en-US" w:eastAsia="zh-CN"/>
        </w:rPr>
        <w:t>–</w:t>
      </w:r>
      <w:r>
        <w:rPr>
          <w:rFonts w:hint="eastAsia" w:ascii="Times New Roman" w:hAnsi="Times New Roman" w:cs="Times New Roman"/>
          <w:sz w:val="18"/>
          <w:szCs w:val="18"/>
          <w:lang w:val="en-US" w:eastAsia="zh-CN"/>
        </w:rPr>
        <w:t>”</w:t>
      </w:r>
      <w:r>
        <w:rPr>
          <w:rFonts w:hint="eastAsia" w:ascii="Times New Roman" w:hAnsi="Times New Roman" w:cs="Times New Roman"/>
          <w:lang w:val="en-US" w:eastAsia="zh-CN"/>
        </w:rPr>
        <w:t>，具体输入方式为：</w:t>
      </w:r>
      <w:r>
        <w:rPr>
          <w:rFonts w:ascii="宋体" w:hAnsi="宋体" w:eastAsia="宋体" w:cs="宋体"/>
          <w:kern w:val="0"/>
          <w:sz w:val="21"/>
          <w:szCs w:val="21"/>
          <w:lang w:val="en-US" w:eastAsia="zh-CN" w:bidi="ar"/>
        </w:rPr>
        <w:t>先输入</w:t>
      </w:r>
      <w:r>
        <w:rPr>
          <w:rFonts w:hint="default" w:ascii="Times New Roman" w:hAnsi="Times New Roman" w:eastAsia="宋体" w:cs="Times New Roman"/>
          <w:kern w:val="0"/>
          <w:sz w:val="21"/>
          <w:szCs w:val="21"/>
          <w:lang w:val="en-US" w:eastAsia="zh-CN" w:bidi="ar"/>
        </w:rPr>
        <w:t>2014</w:t>
      </w:r>
      <w:r>
        <w:rPr>
          <w:rFonts w:ascii="宋体" w:hAnsi="宋体" w:eastAsia="宋体" w:cs="宋体"/>
          <w:kern w:val="0"/>
          <w:sz w:val="21"/>
          <w:szCs w:val="21"/>
          <w:lang w:val="en-US" w:eastAsia="zh-CN" w:bidi="ar"/>
        </w:rPr>
        <w:t>再</w:t>
      </w:r>
      <w:r>
        <w:rPr>
          <w:rFonts w:hint="eastAsia" w:ascii="宋体" w:hAnsi="宋体" w:eastAsia="宋体" w:cs="宋体"/>
          <w:kern w:val="0"/>
          <w:sz w:val="21"/>
          <w:szCs w:val="21"/>
          <w:lang w:val="en-US" w:eastAsia="zh-CN" w:bidi="ar"/>
        </w:rPr>
        <w:t>按</w:t>
      </w:r>
      <w:r>
        <w:rPr>
          <w:rFonts w:hint="eastAsia" w:ascii="Times New Roman" w:hAnsi="Times New Roman" w:cs="Times New Roman"/>
          <w:sz w:val="21"/>
          <w:szCs w:val="21"/>
          <w:lang w:val="en-US" w:eastAsia="zh-CN"/>
        </w:rPr>
        <w:t>Alt+X。因此，上段高亮部分翻译后为：</w:t>
      </w:r>
    </w:p>
    <w:p w14:paraId="031F7338">
      <w:pPr>
        <w:keepNext w:val="0"/>
        <w:keepLines w:val="0"/>
        <w:pageBreakBefore w:val="0"/>
        <w:widowControl/>
        <w:suppressLineNumbers w:val="0"/>
        <w:kinsoku/>
        <w:wordWrap/>
        <w:overflowPunct/>
        <w:topLinePunct w:val="0"/>
        <w:autoSpaceDE/>
        <w:autoSpaceDN/>
        <w:bidi w:val="0"/>
        <w:adjustRightInd/>
        <w:snapToGrid/>
        <w:spacing w:line="360" w:lineRule="exact"/>
        <w:ind w:firstLine="332" w:firstLineChars="200"/>
        <w:jc w:val="left"/>
        <w:textAlignment w:val="auto"/>
        <w:rPr>
          <w:rFonts w:hint="eastAsia"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rPr>
        <w:t>“</w:t>
      </w:r>
      <w:r>
        <w:rPr>
          <w:rFonts w:hint="default" w:ascii="Times New Roman" w:hAnsi="Times New Roman" w:eastAsia="宋体" w:cs="Times New Roman"/>
          <w:color w:val="000000"/>
          <w:sz w:val="18"/>
          <w:szCs w:val="18"/>
          <w:highlight w:val="none"/>
          <w:lang w:val="en-US" w:eastAsia="zh-CN"/>
        </w:rPr>
        <w:t>organizational structure</w:t>
      </w:r>
      <w:r>
        <w:rPr>
          <w:rFonts w:hint="default" w:ascii="Times New Roman" w:hAnsi="Times New Roman" w:eastAsia="宋体" w:cs="Times New Roman"/>
          <w:color w:val="000000"/>
          <w:sz w:val="18"/>
          <w:szCs w:val="18"/>
          <w:highlight w:val="cyan"/>
          <w:lang w:val="en-US" w:eastAsia="zh-CN"/>
        </w:rPr>
        <w:t>–</w:t>
      </w:r>
      <w:r>
        <w:rPr>
          <w:rFonts w:hint="default" w:ascii="Times New Roman" w:hAnsi="Times New Roman" w:eastAsia="宋体" w:cs="Times New Roman"/>
          <w:color w:val="000000"/>
          <w:sz w:val="18"/>
          <w:szCs w:val="18"/>
          <w:highlight w:val="none"/>
          <w:lang w:val="en-US" w:eastAsia="zh-CN"/>
        </w:rPr>
        <w:t>operational mechanism</w:t>
      </w:r>
      <w:r>
        <w:rPr>
          <w:rFonts w:hint="default" w:ascii="Times New Roman" w:hAnsi="Times New Roman" w:eastAsia="宋体" w:cs="Times New Roman"/>
          <w:color w:val="000000"/>
          <w:sz w:val="18"/>
          <w:szCs w:val="18"/>
          <w:highlight w:val="cyan"/>
          <w:lang w:val="en-US" w:eastAsia="zh-CN"/>
        </w:rPr>
        <w:t>–</w:t>
      </w:r>
      <w:r>
        <w:rPr>
          <w:rFonts w:hint="default" w:ascii="Times New Roman" w:hAnsi="Times New Roman" w:eastAsia="宋体" w:cs="Times New Roman"/>
          <w:color w:val="000000"/>
          <w:sz w:val="18"/>
          <w:szCs w:val="18"/>
          <w:highlight w:val="none"/>
          <w:lang w:val="en-US" w:eastAsia="zh-CN"/>
        </w:rPr>
        <w:t>distribution model</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lang w:eastAsia="zh-CN"/>
        </w:rPr>
        <w:t>。</w:t>
      </w:r>
    </w:p>
    <w:p w14:paraId="0B452636">
      <w:pPr>
        <w:keepNext w:val="0"/>
        <w:keepLines w:val="0"/>
        <w:pageBreakBefore w:val="0"/>
        <w:widowControl/>
        <w:suppressLineNumbers w:val="0"/>
        <w:kinsoku/>
        <w:wordWrap/>
        <w:overflowPunct/>
        <w:topLinePunct w:val="0"/>
        <w:autoSpaceDE/>
        <w:autoSpaceDN/>
        <w:bidi w:val="0"/>
        <w:adjustRightInd/>
        <w:snapToGrid/>
        <w:spacing w:line="360" w:lineRule="exact"/>
        <w:ind w:firstLine="332" w:firstLineChars="200"/>
        <w:jc w:val="left"/>
        <w:textAlignment w:val="auto"/>
        <w:rPr>
          <w:rFonts w:hint="default" w:ascii="Times New Roman" w:hAnsi="Times New Roman" w:cs="Times New Roman"/>
          <w:color w:val="000000"/>
          <w:sz w:val="18"/>
          <w:szCs w:val="18"/>
        </w:rPr>
      </w:pPr>
    </w:p>
    <w:p w14:paraId="153D48B5">
      <w:pPr>
        <w:keepNext w:val="0"/>
        <w:keepLines w:val="0"/>
        <w:pageBreakBefore w:val="0"/>
        <w:widowControl/>
        <w:suppressLineNumbers w:val="0"/>
        <w:kinsoku/>
        <w:wordWrap/>
        <w:overflowPunct/>
        <w:topLinePunct w:val="0"/>
        <w:autoSpaceDE/>
        <w:autoSpaceDN/>
        <w:bidi w:val="0"/>
        <w:adjustRightInd/>
        <w:snapToGrid/>
        <w:spacing w:line="360" w:lineRule="exact"/>
        <w:ind w:firstLine="392" w:firstLineChars="200"/>
        <w:jc w:val="left"/>
        <w:textAlignment w:val="auto"/>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lang w:val="en-US" w:eastAsia="zh-CN"/>
        </w:rPr>
        <w:t>例2</w:t>
      </w:r>
      <w:r>
        <w:rPr>
          <w:rFonts w:hint="eastAsia" w:ascii="Times New Roman" w:hAnsi="Times New Roman" w:cs="Times New Roman"/>
          <w:color w:val="000000"/>
          <w:sz w:val="18"/>
          <w:szCs w:val="18"/>
          <w:lang w:val="en-US" w:eastAsia="zh-CN"/>
        </w:rPr>
        <w:t>：</w:t>
      </w:r>
      <w:r>
        <w:rPr>
          <w:rFonts w:hint="eastAsia" w:ascii="Times New Roman" w:hAnsi="Times New Roman" w:cs="Times New Roman"/>
          <w:b/>
          <w:bCs/>
          <w:color w:val="000000"/>
          <w:sz w:val="21"/>
          <w:szCs w:val="21"/>
          <w:lang w:val="en-US" w:eastAsia="zh-CN"/>
        </w:rPr>
        <w:t>复合词中的连接号用短横线（hyphen）“</w:t>
      </w:r>
      <w:r>
        <w:rPr>
          <w:rFonts w:hint="eastAsia" w:ascii="Times New Roman" w:hAnsi="Times New Roman" w:eastAsia="宋体" w:cs="Times New Roman"/>
          <w:color w:val="000000"/>
          <w:sz w:val="18"/>
          <w:szCs w:val="18"/>
          <w:highlight w:val="cyan"/>
          <w:lang w:val="en-US" w:eastAsia="zh-CN"/>
        </w:rPr>
        <w:t>-</w:t>
      </w:r>
      <w:r>
        <w:rPr>
          <w:rFonts w:hint="eastAsia" w:ascii="Times New Roman" w:hAnsi="Times New Roman" w:eastAsia="宋体" w:cs="Times New Roman"/>
          <w:color w:val="000000"/>
          <w:sz w:val="18"/>
          <w:szCs w:val="18"/>
          <w:highlight w:val="none"/>
          <w:lang w:val="en-US" w:eastAsia="zh-CN"/>
        </w:rPr>
        <w:t>”</w:t>
      </w:r>
      <w:r>
        <w:rPr>
          <w:rFonts w:hint="eastAsia" w:ascii="Times New Roman" w:hAnsi="Times New Roman" w:cs="Times New Roman"/>
          <w:color w:val="000000"/>
          <w:sz w:val="18"/>
          <w:szCs w:val="18"/>
          <w:lang w:val="en-US" w:eastAsia="zh-CN"/>
        </w:rPr>
        <w:t>。</w:t>
      </w:r>
      <w:r>
        <w:rPr>
          <w:rFonts w:hint="eastAsia" w:ascii="Times New Roman" w:hAnsi="Times New Roman" w:cs="Times New Roman"/>
          <w:lang w:val="en-US" w:eastAsia="zh-CN"/>
        </w:rPr>
        <w:t>具体输入方式为：</w:t>
      </w:r>
      <w:r>
        <w:rPr>
          <w:rFonts w:ascii="宋体" w:hAnsi="宋体" w:eastAsia="宋体" w:cs="宋体"/>
          <w:kern w:val="0"/>
          <w:sz w:val="21"/>
          <w:szCs w:val="21"/>
          <w:lang w:val="en-US" w:eastAsia="zh-CN" w:bidi="ar"/>
        </w:rPr>
        <w:t>先输入</w:t>
      </w:r>
      <w:r>
        <w:rPr>
          <w:rFonts w:hint="default" w:ascii="Times New Roman" w:hAnsi="Times New Roman" w:eastAsia="宋体" w:cs="Times New Roman"/>
          <w:kern w:val="0"/>
          <w:sz w:val="21"/>
          <w:szCs w:val="21"/>
          <w:lang w:val="en-US" w:eastAsia="zh-CN" w:bidi="ar"/>
        </w:rPr>
        <w:t>201</w:t>
      </w:r>
      <w:r>
        <w:rPr>
          <w:rFonts w:hint="eastAsia" w:ascii="Times New Roman" w:hAnsi="Times New Roman" w:eastAsia="宋体" w:cs="Times New Roman"/>
          <w:kern w:val="0"/>
          <w:sz w:val="21"/>
          <w:szCs w:val="21"/>
          <w:lang w:val="en-US" w:eastAsia="zh-CN" w:bidi="ar"/>
        </w:rPr>
        <w:t>0</w:t>
      </w:r>
      <w:r>
        <w:rPr>
          <w:rFonts w:ascii="宋体" w:hAnsi="宋体" w:eastAsia="宋体" w:cs="宋体"/>
          <w:kern w:val="0"/>
          <w:sz w:val="21"/>
          <w:szCs w:val="21"/>
          <w:lang w:val="en-US" w:eastAsia="zh-CN" w:bidi="ar"/>
        </w:rPr>
        <w:t>再</w:t>
      </w:r>
      <w:r>
        <w:rPr>
          <w:rFonts w:hint="eastAsia" w:ascii="宋体" w:hAnsi="宋体" w:eastAsia="宋体" w:cs="宋体"/>
          <w:kern w:val="0"/>
          <w:sz w:val="21"/>
          <w:szCs w:val="21"/>
          <w:lang w:val="en-US" w:eastAsia="zh-CN" w:bidi="ar"/>
        </w:rPr>
        <w:t>按</w:t>
      </w:r>
      <w:r>
        <w:rPr>
          <w:rFonts w:hint="eastAsia" w:ascii="Times New Roman" w:hAnsi="Times New Roman" w:cs="Times New Roman"/>
          <w:sz w:val="21"/>
          <w:szCs w:val="21"/>
          <w:lang w:val="en-US" w:eastAsia="zh-CN"/>
        </w:rPr>
        <w:t>Alt+X。例</w:t>
      </w:r>
      <w:r>
        <w:rPr>
          <w:rFonts w:hint="eastAsia" w:ascii="Times New Roman" w:hAnsi="Times New Roman" w:cs="Times New Roman"/>
          <w:color w:val="000000"/>
          <w:sz w:val="21"/>
          <w:szCs w:val="21"/>
          <w:lang w:val="en-US" w:eastAsia="zh-CN"/>
        </w:rPr>
        <w:t>如：</w:t>
      </w:r>
      <w:r>
        <w:rPr>
          <w:rFonts w:hint="default" w:ascii="Times New Roman" w:hAnsi="Times New Roman" w:eastAsia="宋体" w:cs="Times New Roman"/>
          <w:color w:val="000000"/>
          <w:sz w:val="18"/>
          <w:szCs w:val="18"/>
          <w:highlight w:val="none"/>
          <w:lang w:val="en-US" w:eastAsia="zh-CN"/>
        </w:rPr>
        <w:t>It explores the operational logic of the enterprise</w:t>
      </w:r>
      <w:r>
        <w:rPr>
          <w:rFonts w:hint="default" w:ascii="Times New Roman" w:hAnsi="Times New Roman" w:eastAsia="宋体" w:cs="Times New Roman"/>
          <w:color w:val="000000"/>
          <w:sz w:val="18"/>
          <w:szCs w:val="18"/>
          <w:highlight w:val="cyan"/>
          <w:lang w:val="en-US" w:eastAsia="zh-CN"/>
        </w:rPr>
        <w:t>-</w:t>
      </w:r>
      <w:r>
        <w:rPr>
          <w:rFonts w:hint="default" w:ascii="Times New Roman" w:hAnsi="Times New Roman" w:eastAsia="宋体" w:cs="Times New Roman"/>
          <w:color w:val="000000"/>
          <w:sz w:val="18"/>
          <w:szCs w:val="18"/>
          <w:highlight w:val="none"/>
          <w:lang w:val="en-US" w:eastAsia="zh-CN"/>
        </w:rPr>
        <w:t>based partnership model, the Party organization</w:t>
      </w:r>
      <w:r>
        <w:rPr>
          <w:rFonts w:hint="default" w:ascii="Times New Roman" w:hAnsi="Times New Roman" w:eastAsia="宋体" w:cs="Times New Roman"/>
          <w:color w:val="000000"/>
          <w:sz w:val="18"/>
          <w:szCs w:val="18"/>
          <w:highlight w:val="cyan"/>
          <w:lang w:val="en-US" w:eastAsia="zh-CN"/>
        </w:rPr>
        <w:t>-</w:t>
      </w:r>
      <w:r>
        <w:rPr>
          <w:rFonts w:hint="default" w:ascii="Times New Roman" w:hAnsi="Times New Roman" w:eastAsia="宋体" w:cs="Times New Roman"/>
          <w:color w:val="000000"/>
          <w:sz w:val="18"/>
          <w:szCs w:val="18"/>
          <w:highlight w:val="none"/>
          <w:lang w:val="en-US" w:eastAsia="zh-CN"/>
        </w:rPr>
        <w:t>led village</w:t>
      </w:r>
      <w:r>
        <w:rPr>
          <w:rFonts w:hint="default" w:ascii="Times New Roman" w:hAnsi="Times New Roman" w:eastAsia="宋体" w:cs="Times New Roman"/>
          <w:color w:val="000000"/>
          <w:sz w:val="18"/>
          <w:szCs w:val="18"/>
          <w:highlight w:val="cyan"/>
          <w:lang w:val="en-US" w:eastAsia="zh-CN"/>
        </w:rPr>
        <w:t>-</w:t>
      </w:r>
      <w:r>
        <w:rPr>
          <w:rFonts w:hint="default" w:ascii="Times New Roman" w:hAnsi="Times New Roman" w:eastAsia="宋体" w:cs="Times New Roman"/>
          <w:color w:val="000000"/>
          <w:sz w:val="18"/>
          <w:szCs w:val="18"/>
          <w:highlight w:val="none"/>
          <w:lang w:val="en-US" w:eastAsia="zh-CN"/>
        </w:rPr>
        <w:t>community integrated model, and the government-led strong village company model</w:t>
      </w:r>
      <w:r>
        <w:rPr>
          <w:rFonts w:hint="eastAsia" w:ascii="Times New Roman" w:hAnsi="Times New Roman" w:eastAsia="宋体" w:cs="Times New Roman"/>
          <w:color w:val="000000"/>
          <w:sz w:val="18"/>
          <w:szCs w:val="18"/>
          <w:highlight w:val="none"/>
          <w:lang w:val="en-US" w:eastAsia="zh-CN"/>
        </w:rPr>
        <w:t>.</w:t>
      </w:r>
    </w:p>
    <w:p w14:paraId="6B510C99">
      <w:pPr>
        <w:keepNext w:val="0"/>
        <w:keepLines w:val="0"/>
        <w:pageBreakBefore w:val="0"/>
        <w:widowControl/>
        <w:suppressLineNumbers w:val="0"/>
        <w:kinsoku/>
        <w:wordWrap/>
        <w:overflowPunct/>
        <w:topLinePunct w:val="0"/>
        <w:autoSpaceDE/>
        <w:autoSpaceDN/>
        <w:bidi w:val="0"/>
        <w:adjustRightInd/>
        <w:snapToGrid/>
        <w:spacing w:line="360" w:lineRule="exact"/>
        <w:ind w:firstLine="392" w:firstLineChars="200"/>
        <w:jc w:val="left"/>
        <w:textAlignment w:val="auto"/>
        <w:rPr>
          <w:rFonts w:hint="eastAsia" w:ascii="Times New Roman" w:hAnsi="Times New Roman" w:cs="Times New Roman"/>
          <w:lang w:val="en-US" w:eastAsia="zh-CN"/>
        </w:rPr>
      </w:pPr>
    </w:p>
    <w:p w14:paraId="675169B3">
      <w:pPr>
        <w:keepNext w:val="0"/>
        <w:keepLines w:val="0"/>
        <w:pageBreakBefore w:val="0"/>
        <w:widowControl/>
        <w:suppressLineNumbers w:val="0"/>
        <w:kinsoku/>
        <w:wordWrap/>
        <w:overflowPunct/>
        <w:topLinePunct w:val="0"/>
        <w:autoSpaceDE/>
        <w:autoSpaceDN/>
        <w:bidi w:val="0"/>
        <w:adjustRightInd/>
        <w:snapToGrid/>
        <w:spacing w:line="360" w:lineRule="exact"/>
        <w:ind w:firstLine="392" w:firstLineChars="200"/>
        <w:jc w:val="left"/>
        <w:textAlignment w:val="auto"/>
        <w:rPr>
          <w:rFonts w:hint="eastAsia" w:ascii="Times New Roman" w:hAnsi="Times New Roman" w:eastAsia="宋体"/>
          <w:highlight w:val="none"/>
          <w:lang w:eastAsia="zh-CN"/>
        </w:rPr>
      </w:pPr>
      <w:r>
        <w:rPr>
          <w:rFonts w:hint="eastAsia" w:ascii="Times New Roman" w:hAnsi="Times New Roman" w:cs="Times New Roman"/>
          <w:lang w:val="en-US" w:eastAsia="zh-CN"/>
        </w:rPr>
        <w:t>例3</w:t>
      </w:r>
      <w:r>
        <w:rPr>
          <w:rFonts w:hint="eastAsia" w:ascii="Times New Roman" w:hAnsi="Times New Roman" w:cs="Times New Roman"/>
          <w:color w:val="000000"/>
          <w:sz w:val="18"/>
          <w:szCs w:val="18"/>
          <w:lang w:val="en-US" w:eastAsia="zh-CN"/>
        </w:rPr>
        <w:t>：</w:t>
      </w:r>
      <w:r>
        <w:rPr>
          <w:rFonts w:hint="eastAsia" w:ascii="Times New Roman" w:hAnsi="Times New Roman" w:cs="Times New Roman"/>
          <w:color w:val="000000"/>
          <w:sz w:val="21"/>
          <w:szCs w:val="21"/>
          <w:lang w:val="en-US" w:eastAsia="zh-CN"/>
        </w:rPr>
        <w:t>年份之间的一字线，翻译</w:t>
      </w:r>
      <w:r>
        <w:rPr>
          <w:rFonts w:hint="eastAsia" w:ascii="Times New Roman" w:hAnsi="Times New Roman" w:cs="Times New Roman"/>
          <w:color w:val="000000"/>
          <w:sz w:val="21"/>
          <w:szCs w:val="21"/>
          <w:highlight w:val="none"/>
          <w:lang w:val="en-US" w:eastAsia="zh-CN"/>
        </w:rPr>
        <w:t>成英文后用</w:t>
      </w:r>
      <w:r>
        <w:rPr>
          <w:rFonts w:hint="eastAsia" w:ascii="Times New Roman" w:hAnsi="Times New Roman" w:cs="Times New Roman"/>
          <w:b/>
          <w:bCs/>
          <w:color w:val="000000"/>
          <w:sz w:val="21"/>
          <w:szCs w:val="21"/>
          <w:highlight w:val="none"/>
          <w:lang w:val="en-US" w:eastAsia="zh-CN"/>
        </w:rPr>
        <w:t>英文的连接号</w:t>
      </w:r>
      <w:r>
        <w:rPr>
          <w:rFonts w:hint="eastAsia" w:ascii="Times New Roman" w:hAnsi="Times New Roman" w:cs="Times New Roman"/>
          <w:color w:val="000000"/>
          <w:sz w:val="21"/>
          <w:szCs w:val="21"/>
          <w:highlight w:val="none"/>
          <w:lang w:val="en-US" w:eastAsia="zh-CN"/>
        </w:rPr>
        <w:t>（en dash）</w:t>
      </w:r>
      <w:r>
        <w:rPr>
          <w:rFonts w:hint="eastAsia" w:ascii="Times New Roman" w:hAnsi="Times New Roman" w:cs="Times New Roman"/>
          <w:highlight w:val="none"/>
          <w:lang w:val="en-US" w:eastAsia="zh-CN"/>
        </w:rPr>
        <w:t>“</w:t>
      </w:r>
      <w:r>
        <w:rPr>
          <w:rFonts w:hint="default" w:ascii="Times New Roman" w:hAnsi="Times New Roman" w:eastAsia="宋体" w:cs="Times New Roman"/>
          <w:color w:val="000000"/>
          <w:sz w:val="18"/>
          <w:szCs w:val="18"/>
          <w:highlight w:val="none"/>
          <w:lang w:val="en-US" w:eastAsia="zh-CN"/>
        </w:rPr>
        <w:t>–</w:t>
      </w:r>
      <w:r>
        <w:rPr>
          <w:rFonts w:hint="eastAsia" w:ascii="Times New Roman" w:hAnsi="Times New Roman" w:cs="Times New Roman"/>
          <w:sz w:val="18"/>
          <w:szCs w:val="18"/>
          <w:highlight w:val="none"/>
          <w:lang w:val="en-US" w:eastAsia="zh-CN"/>
        </w:rPr>
        <w:t>”，</w:t>
      </w:r>
      <w:r>
        <w:rPr>
          <w:rFonts w:hint="eastAsia" w:ascii="Times New Roman" w:hAnsi="Times New Roman" w:cs="Times New Roman"/>
          <w:highlight w:val="none"/>
          <w:lang w:val="en-US" w:eastAsia="zh-CN"/>
        </w:rPr>
        <w:t>具体输入方式为：</w:t>
      </w:r>
      <w:r>
        <w:rPr>
          <w:rFonts w:ascii="宋体" w:hAnsi="宋体" w:eastAsia="宋体" w:cs="宋体"/>
          <w:kern w:val="0"/>
          <w:sz w:val="21"/>
          <w:szCs w:val="21"/>
          <w:highlight w:val="none"/>
          <w:lang w:val="en-US" w:eastAsia="zh-CN" w:bidi="ar"/>
        </w:rPr>
        <w:t>先输入</w:t>
      </w:r>
      <w:r>
        <w:rPr>
          <w:rFonts w:hint="default" w:ascii="Times New Roman" w:hAnsi="Times New Roman" w:eastAsia="宋体" w:cs="Times New Roman"/>
          <w:kern w:val="0"/>
          <w:sz w:val="21"/>
          <w:szCs w:val="21"/>
          <w:highlight w:val="none"/>
          <w:lang w:val="en-US" w:eastAsia="zh-CN" w:bidi="ar"/>
        </w:rPr>
        <w:t>201</w:t>
      </w:r>
      <w:r>
        <w:rPr>
          <w:rFonts w:hint="eastAsia" w:ascii="Times New Roman" w:hAnsi="Times New Roman" w:eastAsia="宋体" w:cs="Times New Roman"/>
          <w:kern w:val="0"/>
          <w:sz w:val="21"/>
          <w:szCs w:val="21"/>
          <w:highlight w:val="none"/>
          <w:lang w:val="en-US" w:eastAsia="zh-CN" w:bidi="ar"/>
        </w:rPr>
        <w:t>3</w:t>
      </w:r>
      <w:r>
        <w:rPr>
          <w:rFonts w:ascii="宋体" w:hAnsi="宋体" w:eastAsia="宋体" w:cs="宋体"/>
          <w:kern w:val="0"/>
          <w:sz w:val="21"/>
          <w:szCs w:val="21"/>
          <w:highlight w:val="none"/>
          <w:lang w:val="en-US" w:eastAsia="zh-CN" w:bidi="ar"/>
        </w:rPr>
        <w:t>再</w:t>
      </w:r>
      <w:r>
        <w:rPr>
          <w:rFonts w:hint="eastAsia" w:ascii="宋体" w:hAnsi="宋体" w:eastAsia="宋体" w:cs="宋体"/>
          <w:kern w:val="0"/>
          <w:sz w:val="21"/>
          <w:szCs w:val="21"/>
          <w:highlight w:val="none"/>
          <w:lang w:val="en-US" w:eastAsia="zh-CN" w:bidi="ar"/>
        </w:rPr>
        <w:t>按</w:t>
      </w:r>
      <w:r>
        <w:rPr>
          <w:rFonts w:hint="eastAsia" w:ascii="Times New Roman" w:hAnsi="Times New Roman" w:cs="Times New Roman"/>
          <w:sz w:val="21"/>
          <w:szCs w:val="21"/>
          <w:highlight w:val="none"/>
          <w:lang w:val="en-US" w:eastAsia="zh-CN"/>
        </w:rPr>
        <w:t>Alt+X。例</w:t>
      </w:r>
      <w:r>
        <w:rPr>
          <w:rFonts w:hint="eastAsia" w:ascii="Times New Roman" w:hAnsi="Times New Roman" w:cs="Times New Roman"/>
          <w:color w:val="000000"/>
          <w:sz w:val="21"/>
          <w:szCs w:val="21"/>
          <w:highlight w:val="none"/>
          <w:lang w:val="en-US" w:eastAsia="zh-CN"/>
        </w:rPr>
        <w:t>如：</w:t>
      </w:r>
      <w:r>
        <w:rPr>
          <w:rFonts w:hint="eastAsia" w:ascii="Times New Roman" w:hAnsi="Times New Roman" w:cs="Times New Roman"/>
          <w:color w:val="000000"/>
          <w:sz w:val="18"/>
          <w:szCs w:val="18"/>
          <w:highlight w:val="none"/>
          <w:lang w:val="en-US" w:eastAsia="zh-CN"/>
        </w:rPr>
        <w:t>“</w:t>
      </w:r>
      <w:r>
        <w:rPr>
          <w:rFonts w:hint="eastAsia" w:ascii="Times New Roman" w:hAnsi="Times New Roman" w:eastAsia="宋体"/>
          <w:highlight w:val="none"/>
        </w:rPr>
        <w:t>2</w:t>
      </w:r>
      <w:r>
        <w:rPr>
          <w:rFonts w:ascii="Times New Roman" w:hAnsi="Times New Roman" w:eastAsia="宋体"/>
          <w:highlight w:val="none"/>
        </w:rPr>
        <w:t>010</w:t>
      </w:r>
      <w:r>
        <w:rPr>
          <w:rFonts w:hint="eastAsia" w:ascii="Times New Roman" w:hAnsi="Times New Roman" w:eastAsia="宋体"/>
          <w:highlight w:val="none"/>
        </w:rPr>
        <w:t>－</w:t>
      </w:r>
      <w:r>
        <w:rPr>
          <w:rFonts w:ascii="Times New Roman" w:hAnsi="Times New Roman" w:eastAsia="宋体"/>
          <w:highlight w:val="none"/>
        </w:rPr>
        <w:t>2020</w:t>
      </w:r>
      <w:r>
        <w:rPr>
          <w:rFonts w:hint="eastAsia" w:ascii="Times New Roman" w:hAnsi="Times New Roman" w:eastAsia="宋体"/>
          <w:highlight w:val="none"/>
        </w:rPr>
        <w:t>年</w:t>
      </w: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翻译成“</w:t>
      </w:r>
      <w:r>
        <w:rPr>
          <w:rFonts w:hint="eastAsia" w:ascii="Times New Roman" w:hAnsi="Times New Roman" w:eastAsia="宋体"/>
          <w:highlight w:val="none"/>
        </w:rPr>
        <w:t>2</w:t>
      </w:r>
      <w:r>
        <w:rPr>
          <w:rFonts w:ascii="Times New Roman" w:hAnsi="Times New Roman" w:eastAsia="宋体"/>
          <w:highlight w:val="none"/>
        </w:rPr>
        <w:t>010</w:t>
      </w:r>
      <w:r>
        <w:rPr>
          <w:rFonts w:hint="default" w:ascii="Times New Roman" w:hAnsi="Times New Roman" w:eastAsia="宋体" w:cs="Times New Roman"/>
          <w:color w:val="000000"/>
          <w:sz w:val="18"/>
          <w:szCs w:val="18"/>
          <w:highlight w:val="none"/>
          <w:lang w:val="en-US" w:eastAsia="zh-CN"/>
        </w:rPr>
        <w:t>–</w:t>
      </w:r>
      <w:r>
        <w:rPr>
          <w:rFonts w:ascii="Times New Roman" w:hAnsi="Times New Roman" w:eastAsia="宋体"/>
          <w:highlight w:val="none"/>
        </w:rPr>
        <w:t>2020</w:t>
      </w:r>
      <w:r>
        <w:rPr>
          <w:rFonts w:hint="eastAsia" w:ascii="Times New Roman" w:hAnsi="Times New Roman" w:eastAsia="宋体"/>
          <w:highlight w:val="none"/>
          <w:lang w:eastAsia="zh-CN"/>
        </w:rPr>
        <w:t>”。</w:t>
      </w:r>
    </w:p>
    <w:p w14:paraId="1637C934">
      <w:pPr>
        <w:keepNext w:val="0"/>
        <w:keepLines w:val="0"/>
        <w:pageBreakBefore w:val="0"/>
        <w:widowControl/>
        <w:suppressLineNumbers w:val="0"/>
        <w:kinsoku/>
        <w:wordWrap/>
        <w:overflowPunct/>
        <w:topLinePunct w:val="0"/>
        <w:autoSpaceDE/>
        <w:autoSpaceDN/>
        <w:bidi w:val="0"/>
        <w:adjustRightInd/>
        <w:snapToGrid/>
        <w:spacing w:line="360" w:lineRule="exact"/>
        <w:ind w:firstLine="392" w:firstLineChars="200"/>
        <w:jc w:val="left"/>
        <w:textAlignment w:val="auto"/>
        <w:rPr>
          <w:rFonts w:hint="eastAsia" w:ascii="Times New Roman" w:hAnsi="Times New Roman" w:eastAsia="宋体"/>
          <w:highlight w:val="none"/>
          <w:lang w:eastAsia="zh-CN"/>
        </w:rPr>
      </w:pPr>
    </w:p>
    <w:p w14:paraId="78CF83F4">
      <w:pPr>
        <w:keepNext w:val="0"/>
        <w:keepLines w:val="0"/>
        <w:pageBreakBefore w:val="0"/>
        <w:numPr>
          <w:ilvl w:val="0"/>
          <w:numId w:val="3"/>
        </w:numPr>
        <w:kinsoku/>
        <w:wordWrap/>
        <w:overflowPunct/>
        <w:topLinePunct w:val="0"/>
        <w:autoSpaceDE/>
        <w:autoSpaceDN/>
        <w:bidi w:val="0"/>
        <w:adjustRightInd/>
        <w:snapToGrid/>
        <w:spacing w:line="360" w:lineRule="exact"/>
        <w:ind w:firstLine="392" w:firstLineChars="200"/>
        <w:textAlignment w:val="auto"/>
        <w:rPr>
          <w:rFonts w:hint="default" w:ascii="Times New Roman" w:hAnsi="Times New Roman" w:eastAsia="宋体"/>
          <w:lang w:val="en-US" w:eastAsia="zh-CN"/>
        </w:rPr>
      </w:pPr>
      <w:r>
        <w:rPr>
          <w:rFonts w:hint="eastAsia" w:ascii="Times New Roman" w:hAnsi="Times New Roman" w:eastAsia="宋体" w:cs="Times New Roman"/>
          <w:b/>
          <w:bCs/>
          <w:highlight w:val="none"/>
          <w:lang w:val="en-US" w:eastAsia="zh-CN"/>
        </w:rPr>
        <w:t>破折号的格式</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b/>
          <w:bCs/>
          <w:highlight w:val="none"/>
          <w:lang w:val="en-US" w:eastAsia="zh-CN"/>
        </w:rPr>
        <w:t>英文的破折号</w:t>
      </w:r>
      <w:r>
        <w:rPr>
          <w:rFonts w:hint="eastAsia" w:ascii="Times New Roman" w:hAnsi="Times New Roman" w:eastAsia="宋体" w:cs="Times New Roman"/>
          <w:color w:val="000000"/>
          <w:sz w:val="21"/>
          <w:szCs w:val="21"/>
          <w:highlight w:val="none"/>
          <w:lang w:val="en-US" w:eastAsia="zh-CN"/>
        </w:rPr>
        <w:t>（em dash）</w:t>
      </w:r>
      <w:r>
        <w:rPr>
          <w:rFonts w:hint="eastAsia" w:ascii="Times New Roman" w:hAnsi="Times New Roman" w:eastAsia="宋体" w:cs="Times New Roman"/>
          <w:highlight w:val="none"/>
          <w:lang w:val="en-US" w:eastAsia="zh-CN"/>
        </w:rPr>
        <w:t>形式是“</w:t>
      </w:r>
      <w:r>
        <w:rPr>
          <w:rFonts w:hint="default" w:ascii="Times New Roman" w:hAnsi="Times New Roman" w:eastAsia="宋体"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”，具体</w:t>
      </w:r>
      <w:r>
        <w:rPr>
          <w:rFonts w:hint="eastAsia" w:ascii="Times New Roman" w:hAnsi="Times New Roman" w:eastAsia="宋体" w:cs="Times New Roman"/>
          <w:highlight w:val="none"/>
          <w:lang w:val="en-US" w:eastAsia="zh-CN"/>
        </w:rPr>
        <w:t>输入方</w:t>
      </w:r>
      <w:r>
        <w:rPr>
          <w:rFonts w:hint="eastAsia" w:ascii="Times New Roman" w:hAnsi="Times New Roman" w:eastAsia="宋体" w:cs="Times New Roman"/>
          <w:lang w:val="en-US" w:eastAsia="zh-CN"/>
        </w:rPr>
        <w:t>式为：</w:t>
      </w:r>
      <w:r>
        <w:rPr>
          <w:rFonts w:ascii="Times New Roman" w:hAnsi="Times New Roman" w:eastAsia="宋体" w:cs="宋体"/>
          <w:kern w:val="0"/>
          <w:sz w:val="21"/>
          <w:szCs w:val="21"/>
          <w:lang w:val="en-US" w:eastAsia="zh-CN" w:bidi="ar"/>
        </w:rPr>
        <w:t>先输入</w:t>
      </w:r>
      <w:r>
        <w:rPr>
          <w:rFonts w:hint="default" w:ascii="Times New Roman" w:hAnsi="Times New Roman" w:eastAsia="宋体" w:cs="Times New Roman"/>
          <w:kern w:val="0"/>
          <w:sz w:val="21"/>
          <w:szCs w:val="21"/>
          <w:lang w:val="en-US" w:eastAsia="zh-CN" w:bidi="ar"/>
        </w:rPr>
        <w:t>2014</w:t>
      </w:r>
      <w:r>
        <w:rPr>
          <w:rFonts w:ascii="Times New Roman" w:hAnsi="Times New Roman" w:eastAsia="宋体" w:cs="宋体"/>
          <w:kern w:val="0"/>
          <w:sz w:val="21"/>
          <w:szCs w:val="21"/>
          <w:lang w:val="en-US" w:eastAsia="zh-CN" w:bidi="ar"/>
        </w:rPr>
        <w:t>再</w:t>
      </w:r>
      <w:r>
        <w:rPr>
          <w:rFonts w:hint="eastAsia" w:ascii="Times New Roman" w:hAnsi="Times New Roman" w:eastAsia="宋体" w:cs="宋体"/>
          <w:kern w:val="0"/>
          <w:sz w:val="21"/>
          <w:szCs w:val="21"/>
          <w:lang w:val="en-US" w:eastAsia="zh-CN" w:bidi="ar"/>
        </w:rPr>
        <w:t>按</w:t>
      </w:r>
      <w:r>
        <w:rPr>
          <w:rFonts w:hint="eastAsia" w:ascii="Times New Roman" w:hAnsi="Times New Roman" w:eastAsia="宋体" w:cs="Times New Roman"/>
          <w:sz w:val="21"/>
          <w:szCs w:val="21"/>
          <w:lang w:val="en-US" w:eastAsia="zh-CN"/>
        </w:rPr>
        <w:t>Alt+X。</w:t>
      </w:r>
    </w:p>
    <w:p w14:paraId="6204FEC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lang w:val="en-US" w:eastAsia="zh-CN"/>
        </w:rPr>
      </w:pPr>
    </w:p>
    <w:p w14:paraId="4B3F217E">
      <w:pPr>
        <w:rPr>
          <w:rFonts w:ascii="Times New Roman" w:hAnsi="Times New Roman" w:eastAsia="楷体" w:cs="Times New Roman"/>
          <w:color w:val="000000"/>
          <w:szCs w:val="22"/>
        </w:rPr>
      </w:pP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 xml:space="preserve"> （责任编辑：×××）</w:t>
      </w:r>
    </w:p>
    <w:p w14:paraId="4E45D3A8">
      <w:pPr>
        <w:jc w:val="right"/>
        <w:rPr>
          <w:rFonts w:ascii="Times New Roman" w:hAnsi="Times New Roman" w:eastAsia="宋体" w:cs="Times New Roman"/>
          <w:color w:val="FF0000"/>
          <w:szCs w:val="22"/>
        </w:rPr>
      </w:pPr>
      <w:r>
        <w:rPr>
          <w:rFonts w:hint="eastAsia" w:ascii="Times New Roman" w:hAnsi="Times New Roman" w:eastAsia="宋体" w:cs="Times New Roman"/>
          <w:color w:val="FF0000"/>
          <w:szCs w:val="22"/>
        </w:rPr>
        <w:t>（责任编辑：中文为楷体，英文和数字为Times</w:t>
      </w:r>
      <w:r>
        <w:rPr>
          <w:rFonts w:ascii="Times New Roman" w:hAnsi="Times New Roman" w:eastAsia="宋体" w:cs="Times New Roman"/>
          <w:color w:val="FF0000"/>
          <w:szCs w:val="22"/>
        </w:rPr>
        <w:t xml:space="preserve"> </w:t>
      </w:r>
      <w:r>
        <w:rPr>
          <w:rFonts w:hint="eastAsia" w:ascii="Times New Roman" w:hAnsi="Times New Roman" w:eastAsia="宋体" w:cs="Times New Roman"/>
          <w:color w:val="FF0000"/>
          <w:szCs w:val="22"/>
        </w:rPr>
        <w:t>New</w:t>
      </w:r>
      <w:r>
        <w:rPr>
          <w:rFonts w:ascii="Times New Roman" w:hAnsi="Times New Roman" w:eastAsia="宋体" w:cs="Times New Roman"/>
          <w:color w:val="FF0000"/>
          <w:szCs w:val="22"/>
        </w:rPr>
        <w:t xml:space="preserve"> </w:t>
      </w:r>
      <w:r>
        <w:rPr>
          <w:rFonts w:hint="eastAsia" w:ascii="Times New Roman" w:hAnsi="Times New Roman" w:eastAsia="宋体" w:cs="Times New Roman"/>
          <w:color w:val="FF0000"/>
          <w:szCs w:val="22"/>
        </w:rPr>
        <w:t>Roman，字号为五号）</w:t>
      </w:r>
    </w:p>
    <w:p w14:paraId="438A565C">
      <w:pPr>
        <w:spacing w:line="240" w:lineRule="atLeast"/>
        <w:rPr>
          <w:rFonts w:ascii="Times New Roman" w:hAnsi="Times New Roman" w:eastAsia="宋体"/>
          <w:color w:val="FF0000"/>
        </w:rPr>
      </w:pPr>
    </w:p>
    <w:p w14:paraId="4C46E117">
      <w:pPr>
        <w:widowControl/>
        <w:spacing w:line="240" w:lineRule="atLeast"/>
        <w:rPr>
          <w:rFonts w:hint="eastAsia" w:ascii="黑体" w:hAnsi="黑体" w:eastAsia="黑体" w:cs="Times New Roman"/>
          <w:color w:val="FF0000"/>
          <w:kern w:val="0"/>
          <w:szCs w:val="21"/>
        </w:rPr>
      </w:pPr>
    </w:p>
    <w:p w14:paraId="75184930">
      <w:pPr>
        <w:widowControl/>
        <w:spacing w:line="240" w:lineRule="atLeast"/>
        <w:rPr>
          <w:rFonts w:ascii="黑体" w:hAnsi="黑体" w:eastAsia="黑体" w:cs="Times New Roman"/>
          <w:color w:val="FF0000"/>
          <w:kern w:val="0"/>
          <w:szCs w:val="21"/>
        </w:rPr>
      </w:pPr>
      <w:r>
        <w:rPr>
          <w:rFonts w:hint="eastAsia" w:ascii="黑体" w:hAnsi="黑体" w:eastAsia="黑体" w:cs="Times New Roman"/>
          <w:color w:val="FF0000"/>
          <w:kern w:val="0"/>
          <w:szCs w:val="21"/>
        </w:rPr>
        <w:t>【论文中常用符号】</w:t>
      </w:r>
    </w:p>
    <w:p w14:paraId="6313BB09">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1D41D5"/>
        </w:rPr>
        <w:t>加号</w:t>
      </w:r>
      <w:r>
        <w:rPr>
          <w:rFonts w:hint="eastAsia" w:ascii="Times New Roman" w:hAnsi="Times New Roman" w:eastAsia="宋体"/>
          <w:color w:val="FF0000"/>
        </w:rPr>
        <w:t>：</w:t>
      </w:r>
      <w:r>
        <w:rPr>
          <w:rFonts w:hint="eastAsia" w:ascii="宋体" w:hAnsi="宋体" w:eastAsia="宋体" w:cs="宋体"/>
          <w:color w:val="FF0000"/>
        </w:rPr>
        <w:t>+</w:t>
      </w:r>
      <w:r>
        <w:rPr>
          <w:rFonts w:hint="eastAsia" w:ascii="Times New Roman" w:hAnsi="Times New Roman" w:eastAsia="宋体"/>
          <w:color w:val="FF0000"/>
        </w:rPr>
        <w:t>（示例：“公司</w:t>
      </w:r>
      <w:r>
        <w:rPr>
          <w:rFonts w:hint="eastAsia" w:ascii="宋体" w:hAnsi="宋体" w:eastAsia="宋体"/>
          <w:color w:val="FF0000"/>
        </w:rPr>
        <w:t>+</w:t>
      </w:r>
      <w:r>
        <w:rPr>
          <w:rFonts w:hint="eastAsia" w:ascii="Times New Roman" w:hAnsi="Times New Roman" w:eastAsia="宋体"/>
          <w:color w:val="FF0000"/>
        </w:rPr>
        <w:t>农户”，“互联网</w:t>
      </w:r>
      <w:r>
        <w:rPr>
          <w:rFonts w:hint="eastAsia" w:ascii="宋体" w:hAnsi="宋体" w:eastAsia="宋体" w:cs="宋体"/>
          <w:color w:val="FF0000"/>
        </w:rPr>
        <w:t>+</w:t>
      </w:r>
      <w:r>
        <w:rPr>
          <w:rFonts w:hint="eastAsia" w:ascii="Times New Roman" w:hAnsi="Times New Roman" w:eastAsia="宋体"/>
          <w:color w:val="FF0000"/>
        </w:rPr>
        <w:t>”）</w:t>
      </w:r>
    </w:p>
    <w:p w14:paraId="14A37835">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1D41D5"/>
        </w:rPr>
        <w:t>减号和负号</w:t>
      </w:r>
      <w:r>
        <w:rPr>
          <w:rFonts w:hint="eastAsia" w:ascii="Times New Roman" w:hAnsi="Times New Roman" w:eastAsia="宋体"/>
          <w:color w:val="FF0000"/>
        </w:rPr>
        <w:t>：</w:t>
      </w:r>
      <w:r>
        <w:rPr>
          <w:rFonts w:ascii="Times New Roman" w:hAnsi="Times New Roman" w:eastAsia="宋体" w:cs="Times New Roman"/>
          <w:color w:val="FF0000"/>
        </w:rPr>
        <w:t>−</w:t>
      </w:r>
      <w:r>
        <w:rPr>
          <w:rFonts w:hint="eastAsia" w:ascii="Times New Roman" w:hAnsi="Times New Roman" w:eastAsia="宋体" w:cs="Times New Roman"/>
          <w:color w:val="FF0000"/>
          <w:lang w:val="en-US" w:eastAsia="zh-CN"/>
        </w:rPr>
        <w:t xml:space="preserve">         </w:t>
      </w:r>
      <w:r>
        <w:rPr>
          <w:rFonts w:hint="eastAsia" w:ascii="Times New Roman" w:hAnsi="Times New Roman" w:eastAsia="宋体"/>
          <w:b/>
          <w:bCs/>
          <w:color w:val="1D41D5"/>
        </w:rPr>
        <w:t>乘号</w:t>
      </w:r>
      <w:r>
        <w:rPr>
          <w:rFonts w:hint="eastAsia" w:ascii="Times New Roman" w:hAnsi="Times New Roman" w:eastAsia="宋体"/>
          <w:color w:val="FF0000"/>
        </w:rPr>
        <w:t>：×（示例：“年份×省份”）</w:t>
      </w:r>
      <w:r>
        <w:rPr>
          <w:rFonts w:hint="eastAsia" w:ascii="Times New Roman" w:hAnsi="Times New Roman" w:eastAsia="宋体"/>
          <w:color w:val="FF0000"/>
          <w:lang w:val="en-US" w:eastAsia="zh-CN"/>
        </w:rPr>
        <w:t xml:space="preserve">         </w:t>
      </w:r>
      <w:r>
        <w:rPr>
          <w:rFonts w:hint="eastAsia" w:ascii="Times New Roman" w:hAnsi="Times New Roman" w:eastAsia="宋体"/>
          <w:b/>
          <w:bCs/>
          <w:color w:val="1D41D5"/>
        </w:rPr>
        <w:t>除号</w:t>
      </w:r>
      <w:r>
        <w:rPr>
          <w:rFonts w:hint="eastAsia" w:ascii="Times New Roman" w:hAnsi="Times New Roman" w:eastAsia="宋体"/>
          <w:b/>
          <w:bCs/>
          <w:color w:val="FF0000"/>
        </w:rPr>
        <w:t>：</w:t>
      </w:r>
      <w:r>
        <w:rPr>
          <w:rFonts w:hint="eastAsia" w:ascii="Times New Roman" w:hAnsi="Times New Roman" w:eastAsia="宋体"/>
          <w:color w:val="FF0000"/>
        </w:rPr>
        <w:t>/</w:t>
      </w:r>
    </w:p>
    <w:p w14:paraId="23523293">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1D41D5"/>
        </w:rPr>
        <w:t>人名中的点</w:t>
      </w:r>
      <w:r>
        <w:rPr>
          <w:rFonts w:hint="eastAsia" w:ascii="Times New Roman" w:hAnsi="Times New Roman" w:eastAsia="宋体"/>
          <w:b/>
          <w:bCs/>
          <w:color w:val="FF0000"/>
        </w:rPr>
        <w:t>：</w:t>
      </w:r>
      <w:r>
        <w:rPr>
          <w:rFonts w:hint="eastAsia" w:ascii="Times New Roman" w:hAnsi="Times New Roman" w:eastAsia="宋体"/>
          <w:color w:val="FF0000"/>
        </w:rPr>
        <w:t>· （示例：亚当·斯密）</w:t>
      </w:r>
    </w:p>
    <w:p w14:paraId="290154DB">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1D41D5"/>
        </w:rPr>
        <w:t>大于小于号</w:t>
      </w:r>
      <w:r>
        <w:rPr>
          <w:rFonts w:hint="eastAsia" w:ascii="Times New Roman" w:hAnsi="Times New Roman" w:eastAsia="宋体"/>
          <w:b/>
          <w:bCs/>
          <w:color w:val="FF0000"/>
        </w:rPr>
        <w:t>：</w:t>
      </w:r>
      <w:r>
        <w:rPr>
          <w:rFonts w:hint="eastAsia" w:ascii="Times New Roman" w:hAnsi="Times New Roman" w:eastAsia="宋体"/>
          <w:color w:val="FF0000"/>
        </w:rPr>
        <w:t>＞、＜、≥、≤</w:t>
      </w:r>
    </w:p>
    <w:p w14:paraId="6D0CFDD7">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1D41D5"/>
        </w:rPr>
        <w:t>单书名号</w:t>
      </w:r>
      <w:r>
        <w:rPr>
          <w:rFonts w:hint="eastAsia" w:ascii="Times New Roman" w:hAnsi="Times New Roman" w:eastAsia="宋体"/>
          <w:b/>
          <w:bCs/>
          <w:color w:val="FF0000"/>
        </w:rPr>
        <w:t>：</w:t>
      </w:r>
      <w:r>
        <w:rPr>
          <w:rFonts w:hint="eastAsia" w:ascii="Times New Roman" w:hAnsi="Times New Roman" w:eastAsia="宋体"/>
          <w:color w:val="FF0000"/>
        </w:rPr>
        <w:t>〈〉</w:t>
      </w:r>
    </w:p>
    <w:p w14:paraId="3CB3EAFC">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1D41D5"/>
        </w:rPr>
        <w:t>一字线</w:t>
      </w:r>
      <w:r>
        <w:rPr>
          <w:rFonts w:hint="eastAsia" w:ascii="Times New Roman" w:hAnsi="Times New Roman" w:eastAsia="宋体"/>
          <w:b/>
          <w:bCs/>
          <w:color w:val="FF0000"/>
        </w:rPr>
        <w:t>：</w:t>
      </w:r>
      <w:r>
        <w:rPr>
          <w:rFonts w:hint="eastAsia" w:ascii="Times New Roman" w:hAnsi="Times New Roman" w:eastAsia="宋体"/>
          <w:b w:val="0"/>
          <w:bCs w:val="0"/>
          <w:color w:val="FF0000"/>
        </w:rPr>
        <w:t>－</w:t>
      </w:r>
      <w:r>
        <w:rPr>
          <w:rFonts w:hint="eastAsia" w:ascii="Times New Roman" w:hAnsi="Times New Roman" w:eastAsia="宋体"/>
          <w:color w:val="FF0000"/>
        </w:rPr>
        <w:t>（示例：2</w:t>
      </w:r>
      <w:r>
        <w:rPr>
          <w:rFonts w:ascii="Times New Roman" w:hAnsi="Times New Roman" w:eastAsia="宋体"/>
          <w:color w:val="FF0000"/>
        </w:rPr>
        <w:t>010</w:t>
      </w:r>
      <w:r>
        <w:rPr>
          <w:rFonts w:hint="eastAsia" w:ascii="Times New Roman" w:hAnsi="Times New Roman" w:eastAsia="宋体"/>
          <w:color w:val="FF0000"/>
        </w:rPr>
        <w:t>－</w:t>
      </w:r>
      <w:r>
        <w:rPr>
          <w:rFonts w:ascii="Times New Roman" w:hAnsi="Times New Roman" w:eastAsia="宋体"/>
          <w:color w:val="FF0000"/>
        </w:rPr>
        <w:t>2020</w:t>
      </w:r>
      <w:r>
        <w:rPr>
          <w:rFonts w:hint="eastAsia" w:ascii="Times New Roman" w:hAnsi="Times New Roman" w:eastAsia="宋体"/>
          <w:color w:val="FF0000"/>
        </w:rPr>
        <w:t>年）</w:t>
      </w:r>
    </w:p>
    <w:p w14:paraId="53DE7D18">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1D41D5"/>
        </w:rPr>
        <w:t>波浪号</w:t>
      </w:r>
      <w:r>
        <w:rPr>
          <w:rFonts w:hint="eastAsia" w:ascii="Times New Roman" w:hAnsi="Times New Roman" w:eastAsia="宋体"/>
          <w:b/>
          <w:bCs/>
          <w:color w:val="FF0000"/>
        </w:rPr>
        <w:t>：</w:t>
      </w:r>
      <w:r>
        <w:rPr>
          <w:rFonts w:hint="eastAsia" w:ascii="Times New Roman" w:hAnsi="Times New Roman" w:eastAsia="宋体"/>
          <w:color w:val="FF0000"/>
        </w:rPr>
        <w:t>～</w:t>
      </w: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5" w:right="1644" w:bottom="2268" w:left="1644" w:header="1701" w:footer="1814" w:gutter="0"/>
      <w:pgNumType w:fmt="numberInDash"/>
      <w:cols w:space="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C1D1">
    <w:pPr>
      <w:pStyle w:val="1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EndPr>
                            <w:rPr>
                              <w:rFonts w:ascii="Times New Roman" w:hAnsi="Times New Roman" w:cs="Times New Roman"/>
                            </w:rPr>
                          </w:sdtEndPr>
                          <w:sdtContent>
                            <w:p w14:paraId="414354A9">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69EDA62D">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14:paraId="414354A9">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69EDA62D">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56B0">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3DBA0">
                          <w:pPr>
                            <w:pStyle w:val="12"/>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63DBA0">
                    <w:pPr>
                      <w:pStyle w:val="12"/>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14:paraId="47900A2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bCs/>
          <w:color w:val="000000"/>
          <w:spacing w:val="-4"/>
          <w:sz w:val="18"/>
          <w:szCs w:val="18"/>
          <w:lang w:eastAsia="zh-CN"/>
        </w:rPr>
      </w:pPr>
      <w:r>
        <w:rPr>
          <w:rStyle w:val="29"/>
          <w:rFonts w:hint="eastAsia" w:ascii="黑体" w:hAnsi="黑体" w:eastAsia="黑体" w:cs="黑体"/>
          <w:color w:val="1D41D5"/>
          <w:sz w:val="18"/>
          <w:szCs w:val="18"/>
          <w:vertAlign w:val="baseline"/>
        </w:rPr>
        <w:t>［</w:t>
      </w:r>
      <w:r>
        <w:rPr>
          <w:rFonts w:hint="eastAsia" w:ascii="黑体" w:hAnsi="黑体" w:eastAsia="黑体" w:cs="黑体"/>
          <w:color w:val="1D41D5"/>
          <w:spacing w:val="-4"/>
          <w:sz w:val="18"/>
          <w:szCs w:val="18"/>
        </w:rPr>
        <w:t>资助项目］</w:t>
      </w:r>
      <w:r>
        <w:rPr>
          <w:rFonts w:hint="eastAsia" w:ascii="黑体" w:hAnsi="黑体" w:eastAsia="黑体" w:cs="黑体"/>
          <w:spacing w:val="-4"/>
          <w:sz w:val="18"/>
          <w:szCs w:val="18"/>
        </w:rPr>
        <w:t xml:space="preserve">  </w:t>
      </w:r>
      <w:r>
        <w:rPr>
          <w:rFonts w:hint="eastAsia" w:ascii="Times New Roman" w:hAnsi="Times New Roman" w:eastAsia="宋体" w:cs="Times New Roman"/>
          <w:bCs/>
          <w:color w:val="000000"/>
          <w:spacing w:val="-6"/>
          <w:sz w:val="18"/>
          <w:szCs w:val="18"/>
          <w:lang w:val="en-US" w:eastAsia="zh-CN"/>
        </w:rPr>
        <w:t>××</w:t>
      </w:r>
      <w:r>
        <w:rPr>
          <w:rFonts w:hint="eastAsia" w:ascii="Times New Roman" w:hAnsi="Times New Roman" w:eastAsia="宋体" w:cs="Times New Roman"/>
          <w:bCs/>
          <w:color w:val="000000"/>
          <w:spacing w:val="-6"/>
          <w:sz w:val="18"/>
          <w:szCs w:val="18"/>
        </w:rPr>
        <w:t>基金项目“</w:t>
      </w:r>
      <w:r>
        <w:rPr>
          <w:rFonts w:hint="eastAsia" w:ascii="Times New Roman" w:hAnsi="Times New Roman" w:eastAsia="宋体" w:cs="Times New Roman"/>
          <w:bCs/>
          <w:color w:val="000000"/>
          <w:spacing w:val="-6"/>
          <w:sz w:val="18"/>
          <w:szCs w:val="18"/>
          <w:lang w:val="en-US" w:eastAsia="zh-CN"/>
        </w:rPr>
        <w:t>××××</w:t>
      </w:r>
      <w:r>
        <w:rPr>
          <w:rFonts w:hint="eastAsia" w:ascii="Times New Roman" w:hAnsi="Times New Roman" w:eastAsia="宋体" w:cs="Times New Roman"/>
          <w:bCs/>
          <w:color w:val="000000"/>
          <w:spacing w:val="-6"/>
          <w:sz w:val="18"/>
          <w:szCs w:val="18"/>
        </w:rPr>
        <w:t>”（编号：</w:t>
      </w:r>
      <w:r>
        <w:rPr>
          <w:rFonts w:hint="eastAsia" w:ascii="Times New Roman" w:hAnsi="Times New Roman" w:eastAsia="宋体" w:cs="Times New Roman"/>
          <w:bCs/>
          <w:color w:val="000000"/>
          <w:spacing w:val="-6"/>
          <w:sz w:val="18"/>
          <w:szCs w:val="18"/>
          <w:lang w:val="en-US" w:eastAsia="zh-CN"/>
        </w:rPr>
        <w:t>××××</w:t>
      </w:r>
      <w:r>
        <w:rPr>
          <w:rFonts w:hint="eastAsia" w:ascii="Times New Roman" w:hAnsi="Times New Roman" w:eastAsia="宋体" w:cs="Times New Roman"/>
          <w:bCs/>
          <w:color w:val="000000"/>
          <w:spacing w:val="-6"/>
          <w:sz w:val="18"/>
          <w:szCs w:val="18"/>
        </w:rPr>
        <w:t>）</w:t>
      </w:r>
      <w:r>
        <w:rPr>
          <w:rFonts w:hint="eastAsia" w:ascii="Times New Roman" w:hAnsi="Times New Roman" w:eastAsia="宋体" w:cs="Times New Roman"/>
          <w:bCs/>
          <w:color w:val="000000"/>
          <w:spacing w:val="-6"/>
          <w:sz w:val="18"/>
          <w:szCs w:val="18"/>
          <w:lang w:eastAsia="zh-CN"/>
        </w:rPr>
        <w:t>；</w:t>
      </w:r>
      <w:r>
        <w:rPr>
          <w:rFonts w:hint="eastAsia" w:ascii="Times New Roman" w:hAnsi="Times New Roman" w:eastAsia="宋体" w:cs="Times New Roman"/>
          <w:bCs/>
          <w:color w:val="000000"/>
          <w:spacing w:val="-6"/>
          <w:sz w:val="18"/>
          <w:szCs w:val="18"/>
          <w:lang w:val="en-US" w:eastAsia="zh-CN"/>
        </w:rPr>
        <w:t>××</w:t>
      </w:r>
      <w:r>
        <w:rPr>
          <w:rFonts w:hint="eastAsia" w:ascii="Times New Roman" w:hAnsi="Times New Roman" w:eastAsia="宋体" w:cs="Times New Roman"/>
          <w:bCs/>
          <w:color w:val="000000"/>
          <w:spacing w:val="-6"/>
          <w:sz w:val="18"/>
          <w:szCs w:val="18"/>
        </w:rPr>
        <w:t>基金项目“</w:t>
      </w:r>
      <w:r>
        <w:rPr>
          <w:rFonts w:hint="eastAsia" w:ascii="Times New Roman" w:hAnsi="Times New Roman" w:eastAsia="宋体" w:cs="Times New Roman"/>
          <w:bCs/>
          <w:color w:val="000000"/>
          <w:spacing w:val="-6"/>
          <w:sz w:val="18"/>
          <w:szCs w:val="18"/>
          <w:lang w:val="en-US" w:eastAsia="zh-CN"/>
        </w:rPr>
        <w:t>××××</w:t>
      </w:r>
      <w:r>
        <w:rPr>
          <w:rFonts w:hint="eastAsia" w:ascii="Times New Roman" w:hAnsi="Times New Roman" w:eastAsia="宋体" w:cs="Times New Roman"/>
          <w:bCs/>
          <w:color w:val="000000"/>
          <w:spacing w:val="-6"/>
          <w:sz w:val="18"/>
          <w:szCs w:val="18"/>
        </w:rPr>
        <w:t>”（编号：</w:t>
      </w:r>
      <w:r>
        <w:rPr>
          <w:rFonts w:hint="eastAsia" w:ascii="Times New Roman" w:hAnsi="Times New Roman" w:eastAsia="宋体" w:cs="Times New Roman"/>
          <w:bCs/>
          <w:color w:val="000000"/>
          <w:spacing w:val="-6"/>
          <w:sz w:val="18"/>
          <w:szCs w:val="18"/>
          <w:lang w:val="en-US" w:eastAsia="zh-CN"/>
        </w:rPr>
        <w:t>××××</w:t>
      </w:r>
      <w:r>
        <w:rPr>
          <w:rFonts w:hint="eastAsia" w:ascii="Times New Roman" w:hAnsi="Times New Roman" w:eastAsia="宋体" w:cs="Times New Roman"/>
          <w:bCs/>
          <w:color w:val="000000"/>
          <w:spacing w:val="-6"/>
          <w:sz w:val="18"/>
          <w:szCs w:val="18"/>
        </w:rPr>
        <w:t>）</w:t>
      </w:r>
      <w:r>
        <w:rPr>
          <w:rFonts w:hint="eastAsia" w:ascii="Times New Roman" w:hAnsi="Times New Roman" w:eastAsia="宋体" w:cs="Times New Roman"/>
          <w:bCs/>
          <w:color w:val="000000"/>
          <w:spacing w:val="-6"/>
          <w:sz w:val="18"/>
          <w:szCs w:val="18"/>
          <w:lang w:eastAsia="zh-CN"/>
        </w:rPr>
        <w:t>。</w:t>
      </w:r>
    </w:p>
    <w:p w14:paraId="4BE9A80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ascii="Times New Roman" w:hAnsi="Times New Roman" w:eastAsia="宋体" w:cs="Times New Roman"/>
          <w:color w:val="FF0000"/>
          <w:sz w:val="18"/>
          <w:szCs w:val="18"/>
        </w:rPr>
      </w:pPr>
      <w:r>
        <w:rPr>
          <w:rFonts w:hint="eastAsia" w:ascii="Times New Roman" w:hAnsi="Times New Roman" w:eastAsia="宋体" w:cs="Times New Roman"/>
          <w:bCs/>
          <w:color w:val="FF0000"/>
          <w:sz w:val="18"/>
          <w:szCs w:val="21"/>
        </w:rPr>
        <w:t>（项目不超过3个，项目主题须与论文研究主题</w:t>
      </w:r>
      <w:r>
        <w:rPr>
          <w:rFonts w:hint="eastAsia" w:ascii="Times New Roman" w:hAnsi="Times New Roman" w:eastAsia="宋体" w:cs="Times New Roman"/>
          <w:bCs/>
          <w:color w:val="FF0000"/>
          <w:sz w:val="18"/>
          <w:szCs w:val="21"/>
          <w:lang w:val="en-US" w:eastAsia="zh-CN"/>
        </w:rPr>
        <w:t>直接</w:t>
      </w:r>
      <w:r>
        <w:rPr>
          <w:rFonts w:hint="eastAsia" w:ascii="Times New Roman" w:hAnsi="Times New Roman" w:eastAsia="宋体" w:cs="Times New Roman"/>
          <w:bCs/>
          <w:color w:val="FF0000"/>
          <w:sz w:val="18"/>
          <w:szCs w:val="21"/>
        </w:rPr>
        <w:t>相关）</w:t>
      </w:r>
    </w:p>
    <w:p w14:paraId="6BD2B3DD">
      <w:pPr>
        <w:pStyle w:val="14"/>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bCs/>
          <w:color w:val="000000"/>
          <w:spacing w:val="-4"/>
        </w:rPr>
      </w:pPr>
      <w:r>
        <w:rPr>
          <w:rFonts w:hint="eastAsia" w:ascii="黑体" w:hAnsi="黑体" w:eastAsia="黑体" w:cs="黑体"/>
          <w:bCs/>
          <w:color w:val="1D41D5"/>
          <w:spacing w:val="-4"/>
        </w:rPr>
        <w:t>［作者信息］</w:t>
      </w:r>
      <w:r>
        <w:rPr>
          <w:rFonts w:hint="eastAsia" w:ascii="黑体" w:hAnsi="黑体" w:eastAsia="黑体" w:cs="黑体"/>
          <w:bCs/>
          <w:color w:val="000000"/>
          <w:spacing w:val="-4"/>
        </w:rPr>
        <w:t xml:space="preserve">  </w:t>
      </w:r>
      <w:r>
        <w:rPr>
          <w:rFonts w:hint="eastAsia"/>
          <w:bCs/>
          <w:color w:val="000000"/>
          <w:spacing w:val="-4"/>
          <w:lang w:val="en-US" w:eastAsia="zh-CN"/>
        </w:rPr>
        <w:t>作者</w:t>
      </w:r>
      <w:r>
        <w:rPr>
          <w:rFonts w:hint="default" w:ascii="Times New Roman" w:hAnsi="Times New Roman" w:cs="Times New Roman"/>
          <w:bCs/>
          <w:color w:val="000000"/>
          <w:spacing w:val="-4"/>
          <w:lang w:val="en-US" w:eastAsia="zh-CN"/>
        </w:rPr>
        <w:t>1</w:t>
      </w:r>
      <w:r>
        <w:rPr>
          <w:rFonts w:hint="eastAsia"/>
          <w:bCs/>
          <w:color w:val="000000"/>
          <w:spacing w:val="-4"/>
          <w:lang w:val="en-US" w:eastAsia="zh-CN"/>
        </w:rPr>
        <w:t>姓名，单位全称，电子邮箱：</w:t>
      </w:r>
      <w:r>
        <w:rPr>
          <w:rFonts w:hint="eastAsia" w:ascii="Times New Roman" w:hAnsi="Times New Roman" w:eastAsia="宋体" w:cs="Times New Roman"/>
          <w:bCs/>
          <w:color w:val="000000"/>
          <w:spacing w:val="-6"/>
          <w:sz w:val="18"/>
          <w:szCs w:val="18"/>
          <w:lang w:val="en-US" w:eastAsia="zh-CN"/>
        </w:rPr>
        <w:t>××××</w:t>
      </w:r>
      <w:r>
        <w:rPr>
          <w:rFonts w:hint="eastAsia"/>
          <w:bCs/>
          <w:color w:val="000000"/>
          <w:spacing w:val="-4"/>
          <w:lang w:val="en-US" w:eastAsia="zh-CN"/>
        </w:rPr>
        <w:t>；作者</w:t>
      </w:r>
      <w:r>
        <w:rPr>
          <w:rFonts w:hint="default" w:ascii="Times New Roman" w:hAnsi="Times New Roman" w:cs="Times New Roman"/>
          <w:bCs/>
          <w:color w:val="000000"/>
          <w:spacing w:val="-4"/>
          <w:lang w:val="en-US" w:eastAsia="zh-CN"/>
        </w:rPr>
        <w:t>2</w:t>
      </w:r>
      <w:r>
        <w:rPr>
          <w:rFonts w:hint="eastAsia"/>
          <w:bCs/>
          <w:color w:val="000000"/>
          <w:spacing w:val="-4"/>
          <w:lang w:val="en-US" w:eastAsia="zh-CN"/>
        </w:rPr>
        <w:t>姓名，单位全称，电子邮箱：</w:t>
      </w:r>
      <w:r>
        <w:rPr>
          <w:rFonts w:hint="eastAsia" w:ascii="Times New Roman" w:hAnsi="Times New Roman" w:eastAsia="宋体" w:cs="Times New Roman"/>
          <w:bCs/>
          <w:color w:val="000000"/>
          <w:spacing w:val="-6"/>
          <w:sz w:val="18"/>
          <w:szCs w:val="18"/>
          <w:lang w:val="en-US" w:eastAsia="zh-CN"/>
        </w:rPr>
        <w:t>××××</w:t>
      </w:r>
      <w:r>
        <w:rPr>
          <w:rFonts w:hint="eastAsia"/>
          <w:bCs/>
          <w:color w:val="000000"/>
          <w:spacing w:val="-4"/>
        </w:rPr>
        <w:t>。</w:t>
      </w:r>
    </w:p>
    <w:p w14:paraId="5D7D78AE">
      <w:pPr>
        <w:pStyle w:val="14"/>
        <w:keepNext w:val="0"/>
        <w:keepLines w:val="0"/>
        <w:pageBreakBefore w:val="0"/>
        <w:widowControl w:val="0"/>
        <w:kinsoku/>
        <w:wordWrap/>
        <w:overflowPunct/>
        <w:topLinePunct w:val="0"/>
        <w:autoSpaceDE/>
        <w:autoSpaceDN/>
        <w:bidi w:val="0"/>
        <w:adjustRightInd/>
        <w:snapToGrid/>
        <w:spacing w:line="240" w:lineRule="atLeast"/>
        <w:jc w:val="both"/>
        <w:textAlignment w:val="auto"/>
      </w:pPr>
      <w:r>
        <w:rPr>
          <w:rFonts w:hint="eastAsia" w:ascii="Times New Roman" w:hAnsi="Times New Roman" w:eastAsia="宋体" w:cs="Times New Roman"/>
          <w:bCs/>
          <w:color w:val="FF0000"/>
          <w:sz w:val="18"/>
          <w:szCs w:val="21"/>
        </w:rPr>
        <w:t>（</w:t>
      </w:r>
      <w:r>
        <w:rPr>
          <w:rFonts w:hint="eastAsia" w:ascii="Times New Roman" w:hAnsi="Times New Roman" w:eastAsia="宋体" w:cs="Times New Roman"/>
          <w:bCs/>
          <w:color w:val="FF0000"/>
          <w:sz w:val="18"/>
          <w:szCs w:val="21"/>
          <w:lang w:val="en-US" w:eastAsia="zh-CN"/>
        </w:rPr>
        <w:t>作者和单位：中文</w:t>
      </w:r>
      <w:r>
        <w:rPr>
          <w:rFonts w:hint="eastAsia" w:ascii="Times New Roman" w:hAnsi="Times New Roman" w:eastAsia="宋体" w:cs="Times New Roman"/>
          <w:color w:val="FF0000"/>
          <w:sz w:val="18"/>
          <w:szCs w:val="18"/>
        </w:rPr>
        <w:t>为</w:t>
      </w:r>
      <w:r>
        <w:rPr>
          <w:rFonts w:hint="eastAsia" w:ascii="Times New Roman" w:hAnsi="Times New Roman" w:eastAsia="宋体" w:cs="Times New Roman"/>
          <w:color w:val="FF0000"/>
          <w:sz w:val="18"/>
          <w:szCs w:val="18"/>
          <w:lang w:val="en-US" w:eastAsia="zh-CN"/>
        </w:rPr>
        <w:t>宋</w:t>
      </w:r>
      <w:r>
        <w:rPr>
          <w:rFonts w:hint="eastAsia" w:ascii="Times New Roman" w:hAnsi="Times New Roman" w:eastAsia="宋体" w:cs="Times New Roman"/>
          <w:color w:val="FF0000"/>
          <w:sz w:val="18"/>
          <w:szCs w:val="18"/>
        </w:rPr>
        <w:t>体，英文和数字为Times</w:t>
      </w:r>
      <w:r>
        <w:rPr>
          <w:rFonts w:ascii="Times New Roman" w:hAnsi="Times New Roman" w:eastAsia="宋体" w:cs="Times New Roman"/>
          <w:color w:val="FF0000"/>
          <w:sz w:val="18"/>
          <w:szCs w:val="18"/>
        </w:rPr>
        <w:t xml:space="preserve"> </w:t>
      </w:r>
      <w:r>
        <w:rPr>
          <w:rFonts w:hint="eastAsia" w:ascii="Times New Roman" w:hAnsi="Times New Roman" w:eastAsia="宋体" w:cs="Times New Roman"/>
          <w:color w:val="FF0000"/>
          <w:sz w:val="18"/>
          <w:szCs w:val="18"/>
        </w:rPr>
        <w:t>New</w:t>
      </w:r>
      <w:r>
        <w:rPr>
          <w:rFonts w:ascii="Times New Roman" w:hAnsi="Times New Roman" w:eastAsia="宋体" w:cs="Times New Roman"/>
          <w:color w:val="FF0000"/>
          <w:sz w:val="18"/>
          <w:szCs w:val="18"/>
        </w:rPr>
        <w:t xml:space="preserve"> </w:t>
      </w:r>
      <w:r>
        <w:rPr>
          <w:rFonts w:hint="eastAsia" w:ascii="Times New Roman" w:hAnsi="Times New Roman" w:eastAsia="宋体" w:cs="Times New Roman"/>
          <w:color w:val="FF0000"/>
          <w:sz w:val="18"/>
          <w:szCs w:val="18"/>
        </w:rPr>
        <w:t>Roman，字号为</w:t>
      </w:r>
      <w:r>
        <w:rPr>
          <w:rFonts w:hint="eastAsia" w:ascii="Times New Roman" w:hAnsi="Times New Roman" w:eastAsia="宋体" w:cs="Times New Roman"/>
          <w:color w:val="FF0000"/>
          <w:sz w:val="18"/>
          <w:szCs w:val="18"/>
          <w:lang w:val="en-US" w:eastAsia="zh-CN"/>
        </w:rPr>
        <w:t>小</w:t>
      </w:r>
      <w:r>
        <w:rPr>
          <w:rFonts w:hint="eastAsia" w:ascii="Times New Roman" w:hAnsi="Times New Roman" w:eastAsia="宋体" w:cs="Times New Roman"/>
          <w:color w:val="FF0000"/>
          <w:sz w:val="18"/>
          <w:szCs w:val="18"/>
        </w:rPr>
        <w:t>五号</w:t>
      </w:r>
      <w:r>
        <w:rPr>
          <w:rFonts w:hint="eastAsia" w:ascii="Times New Roman" w:hAnsi="Times New Roman" w:eastAsia="宋体" w:cs="Times New Roman"/>
          <w:color w:val="FF0000"/>
          <w:sz w:val="18"/>
          <w:szCs w:val="18"/>
          <w:lang w:eastAsia="zh-CN"/>
        </w:rPr>
        <w:t>）</w:t>
      </w:r>
    </w:p>
  </w:footnote>
  <w:footnote w:id="1">
    <w:p w14:paraId="4B088657">
      <w:pPr>
        <w:pStyle w:val="14"/>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ascii="Times New Roman" w:hAnsi="Times New Roman" w:eastAsia="宋体"/>
          <w:sz w:val="18"/>
          <w:szCs w:val="18"/>
        </w:rPr>
      </w:pPr>
      <w:r>
        <w:rPr>
          <w:rStyle w:val="29"/>
          <w:rFonts w:ascii="Times New Roman" w:hAnsi="Times New Roman"/>
          <w:sz w:val="18"/>
          <w:szCs w:val="18"/>
        </w:rPr>
        <w:footnoteRef/>
      </w:r>
      <w:r>
        <w:rPr>
          <w:rFonts w:hint="eastAsia" w:ascii="Times New Roman" w:hAnsi="Times New Roman" w:eastAsia="宋体"/>
          <w:sz w:val="18"/>
          <w:szCs w:val="18"/>
        </w:rPr>
        <w:t>《习近平：高举中国特色社会主义伟大旗帜 为全面建设社会主义现代化国家而团结奋斗——在中国共产党第二十次全国代表大会上的报告》，</w:t>
      </w:r>
      <w:r>
        <w:rPr>
          <w:sz w:val="18"/>
          <w:szCs w:val="18"/>
        </w:rPr>
        <w:fldChar w:fldCharType="begin"/>
      </w:r>
      <w:r>
        <w:rPr>
          <w:sz w:val="18"/>
          <w:szCs w:val="18"/>
        </w:rPr>
        <w:instrText xml:space="preserve"> HYPERLINK "https://www.gov.cn/xinwen/2022-10/25/content_5721685.htm" </w:instrText>
      </w:r>
      <w:r>
        <w:rPr>
          <w:sz w:val="18"/>
          <w:szCs w:val="18"/>
        </w:rPr>
        <w:fldChar w:fldCharType="separate"/>
      </w:r>
      <w:r>
        <w:rPr>
          <w:rStyle w:val="25"/>
          <w:rFonts w:ascii="Times New Roman" w:hAnsi="Times New Roman" w:eastAsia="宋体"/>
          <w:sz w:val="18"/>
          <w:szCs w:val="18"/>
        </w:rPr>
        <w:t>https://www.gov.cn/xinwen/2022-10/25/content_5721685.htm</w:t>
      </w:r>
      <w:r>
        <w:rPr>
          <w:rStyle w:val="25"/>
          <w:rFonts w:ascii="Times New Roman" w:hAnsi="Times New Roman" w:eastAsia="宋体"/>
          <w:sz w:val="18"/>
          <w:szCs w:val="18"/>
        </w:rPr>
        <w:fldChar w:fldCharType="end"/>
      </w:r>
      <w:r>
        <w:rPr>
          <w:rFonts w:hint="eastAsia" w:ascii="Times New Roman" w:hAnsi="Times New Roman" w:eastAsia="宋体"/>
          <w:sz w:val="18"/>
          <w:szCs w:val="18"/>
        </w:rPr>
        <w:t>。</w:t>
      </w:r>
      <w:r>
        <w:rPr>
          <w:rFonts w:hint="eastAsia" w:ascii="Times New Roman" w:hAnsi="Times New Roman" w:eastAsia="宋体" w:cs="Times New Roman"/>
          <w:color w:val="FF0000"/>
          <w:sz w:val="18"/>
          <w:szCs w:val="18"/>
        </w:rPr>
        <w:t>（</w:t>
      </w:r>
      <w:r>
        <w:rPr>
          <w:rFonts w:hint="eastAsia" w:ascii="Times New Roman" w:hAnsi="Times New Roman" w:eastAsia="宋体" w:cs="Times New Roman"/>
          <w:bCs/>
          <w:color w:val="FF0000"/>
          <w:sz w:val="18"/>
          <w:szCs w:val="18"/>
        </w:rPr>
        <w:t>直接引用领导人讲话或有关政策文件时，</w:t>
      </w:r>
      <w:r>
        <w:rPr>
          <w:rFonts w:hint="eastAsia" w:ascii="Times New Roman" w:hAnsi="Times New Roman" w:eastAsia="宋体" w:cs="Times New Roman"/>
          <w:b/>
          <w:bCs w:val="0"/>
          <w:color w:val="1D41D5"/>
          <w:sz w:val="18"/>
          <w:szCs w:val="18"/>
        </w:rPr>
        <w:t>前面</w:t>
      </w:r>
      <w:r>
        <w:rPr>
          <w:rFonts w:hint="eastAsia" w:ascii="Times New Roman" w:hAnsi="Times New Roman" w:eastAsia="宋体" w:cs="Times New Roman"/>
          <w:b/>
          <w:bCs w:val="0"/>
          <w:color w:val="1D41D5"/>
          <w:sz w:val="18"/>
          <w:szCs w:val="18"/>
          <w:lang w:val="en-US" w:eastAsia="zh-CN"/>
        </w:rPr>
        <w:t>不</w:t>
      </w:r>
      <w:r>
        <w:rPr>
          <w:rFonts w:hint="eastAsia" w:ascii="Times New Roman" w:hAnsi="Times New Roman" w:eastAsia="宋体" w:cs="Times New Roman"/>
          <w:b/>
          <w:bCs w:val="0"/>
          <w:color w:val="1D41D5"/>
          <w:sz w:val="18"/>
          <w:szCs w:val="18"/>
        </w:rPr>
        <w:t>加“参见”</w:t>
      </w:r>
      <w:r>
        <w:rPr>
          <w:rFonts w:hint="eastAsia" w:ascii="Times New Roman" w:hAnsi="Times New Roman" w:eastAsia="宋体" w:cs="Times New Roman"/>
          <w:b/>
          <w:bCs w:val="0"/>
          <w:color w:val="1D41D5"/>
          <w:sz w:val="18"/>
          <w:szCs w:val="18"/>
          <w:lang w:val="en-US" w:eastAsia="zh-CN"/>
        </w:rPr>
        <w:t>或“资料来源”</w:t>
      </w:r>
      <w:r>
        <w:rPr>
          <w:rFonts w:hint="eastAsia" w:ascii="Times New Roman" w:hAnsi="Times New Roman" w:eastAsia="宋体" w:cs="Times New Roman"/>
          <w:bCs/>
          <w:color w:val="FF0000"/>
          <w:sz w:val="18"/>
          <w:szCs w:val="18"/>
        </w:rPr>
        <w:t>，来源应为正式出版物或权威官方网站。直接引用内容须与原文完全一致</w:t>
      </w:r>
      <w:r>
        <w:rPr>
          <w:rFonts w:hint="eastAsia" w:ascii="Times New Roman" w:hAnsi="Times New Roman" w:eastAsia="宋体" w:cs="Times New Roman"/>
          <w:color w:val="FF0000"/>
          <w:sz w:val="18"/>
          <w:szCs w:val="18"/>
        </w:rPr>
        <w:t>）</w:t>
      </w:r>
    </w:p>
  </w:footnote>
  <w:footnote w:id="2">
    <w:p w14:paraId="68ABC3B5">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宋体" w:cs="Times New Roman"/>
          <w:color w:val="FF0000"/>
          <w:sz w:val="18"/>
          <w:szCs w:val="18"/>
        </w:rPr>
      </w:pPr>
      <w:r>
        <w:rPr>
          <w:rFonts w:ascii="Times New Roman" w:hAnsi="Times New Roman" w:eastAsia="宋体" w:cs="Times New Roman"/>
          <w:sz w:val="18"/>
          <w:szCs w:val="18"/>
          <w:vertAlign w:val="superscript"/>
        </w:rPr>
        <w:footnoteRef/>
      </w:r>
      <w:r>
        <w:rPr>
          <w:rFonts w:hint="eastAsia" w:ascii="Times New Roman" w:hAnsi="Times New Roman" w:eastAsia="宋体" w:cs="Times New Roman"/>
          <w:b/>
          <w:bCs/>
          <w:color w:val="1D41D5"/>
          <w:sz w:val="18"/>
          <w:szCs w:val="18"/>
        </w:rPr>
        <w:t>资料来源</w:t>
      </w:r>
      <w:r>
        <w:rPr>
          <w:rFonts w:hint="eastAsia" w:ascii="Times New Roman" w:hAnsi="Times New Roman" w:eastAsia="宋体" w:cs="Times New Roman"/>
          <w:sz w:val="18"/>
          <w:szCs w:val="18"/>
        </w:rPr>
        <w:t>：《2021年农民工监测调查报告》，</w:t>
      </w:r>
      <w:r>
        <w:rPr>
          <w:rFonts w:ascii="Times New Roman" w:hAnsi="Times New Roman" w:eastAsia="宋体" w:cs="Times New Roman"/>
          <w:sz w:val="18"/>
          <w:szCs w:val="18"/>
        </w:rPr>
        <w:t>http://www.gov.cn/xinwen/2022-04/29/content_5688043.htm</w:t>
      </w:r>
      <w:r>
        <w:rPr>
          <w:rFonts w:hint="eastAsia" w:ascii="Times New Roman" w:hAnsi="Times New Roman" w:eastAsia="宋体" w:cs="Times New Roman"/>
          <w:sz w:val="18"/>
          <w:szCs w:val="18"/>
        </w:rPr>
        <w:t>。</w:t>
      </w:r>
      <w:r>
        <w:rPr>
          <w:rFonts w:hint="eastAsia" w:ascii="Times New Roman" w:hAnsi="Times New Roman" w:eastAsia="宋体" w:cs="Times New Roman"/>
          <w:color w:val="FF0000"/>
          <w:sz w:val="18"/>
          <w:szCs w:val="18"/>
        </w:rPr>
        <w:t>（引用数据、案例等资料时，前面统一加“资料来源”，再说明来源）</w:t>
      </w:r>
    </w:p>
  </w:footnote>
  <w:footnote w:id="3">
    <w:p w14:paraId="15B7E517">
      <w:pPr>
        <w:pStyle w:val="14"/>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ascii="Times New Roman" w:hAnsi="Times New Roman" w:eastAsia="宋体"/>
          <w:sz w:val="18"/>
          <w:szCs w:val="18"/>
        </w:rPr>
      </w:pPr>
      <w:r>
        <w:rPr>
          <w:rStyle w:val="29"/>
          <w:rFonts w:ascii="Times New Roman" w:hAnsi="Times New Roman"/>
          <w:sz w:val="18"/>
          <w:szCs w:val="18"/>
        </w:rPr>
        <w:footnoteRef/>
      </w:r>
      <w:r>
        <w:rPr>
          <w:rFonts w:hint="eastAsia" w:ascii="Times New Roman" w:hAnsi="Times New Roman" w:eastAsia="宋体"/>
          <w:sz w:val="18"/>
          <w:szCs w:val="18"/>
        </w:rPr>
        <w:t>中央档案馆、中共中央文献研究室，2013：《中共中央文件选集》（1949年10月－1966年5月）第</w:t>
      </w:r>
      <w:r>
        <w:rPr>
          <w:rFonts w:ascii="Times New Roman" w:hAnsi="Times New Roman" w:eastAsia="宋体"/>
          <w:sz w:val="18"/>
          <w:szCs w:val="18"/>
        </w:rPr>
        <w:t>40</w:t>
      </w:r>
      <w:r>
        <w:rPr>
          <w:rFonts w:hint="eastAsia" w:ascii="Times New Roman" w:hAnsi="Times New Roman" w:eastAsia="宋体"/>
          <w:sz w:val="18"/>
          <w:szCs w:val="18"/>
        </w:rPr>
        <w:t>册，北京：人民出版社，第</w:t>
      </w:r>
      <w:r>
        <w:rPr>
          <w:rFonts w:ascii="Times New Roman" w:hAnsi="Times New Roman" w:eastAsia="宋体"/>
          <w:sz w:val="18"/>
          <w:szCs w:val="18"/>
        </w:rPr>
        <w:t>516</w:t>
      </w:r>
      <w:r>
        <w:rPr>
          <w:rFonts w:hint="eastAsia" w:ascii="Times New Roman" w:hAnsi="Times New Roman" w:eastAsia="宋体"/>
          <w:sz w:val="18"/>
          <w:szCs w:val="18"/>
        </w:rPr>
        <w:t>页。</w:t>
      </w:r>
      <w:r>
        <w:rPr>
          <w:rFonts w:hint="eastAsia" w:ascii="Times New Roman" w:hAnsi="Times New Roman" w:eastAsia="宋体"/>
          <w:color w:val="FF0000"/>
          <w:sz w:val="18"/>
          <w:szCs w:val="18"/>
        </w:rPr>
        <w:t>（历史文件资料，采用与文后参考文献中著作类文献相同的体例格式，放在脚注中）</w:t>
      </w:r>
    </w:p>
  </w:footnote>
  <w:footnote w:id="4">
    <w:p w14:paraId="2410218B">
      <w:pPr>
        <w:pStyle w:val="14"/>
        <w:keepNext w:val="0"/>
        <w:keepLines w:val="0"/>
        <w:pageBreakBefore w:val="0"/>
        <w:widowControl w:val="0"/>
        <w:kinsoku/>
        <w:wordWrap/>
        <w:overflowPunct/>
        <w:topLinePunct w:val="0"/>
        <w:bidi w:val="0"/>
        <w:adjustRightInd/>
        <w:snapToGrid/>
        <w:spacing w:line="240" w:lineRule="atLeast"/>
        <w:jc w:val="both"/>
        <w:textAlignment w:val="auto"/>
        <w:rPr>
          <w:rFonts w:hint="default" w:ascii="Times New Roman" w:hAnsi="Times New Roman" w:eastAsia="宋体" w:cs="Times New Roman"/>
          <w:color w:val="FF0000"/>
          <w:szCs w:val="18"/>
          <w:highlight w:val="none"/>
          <w:lang w:val="en-US" w:eastAsia="zh-CN"/>
        </w:rPr>
      </w:pPr>
      <w:r>
        <w:rPr>
          <w:rStyle w:val="29"/>
          <w:rFonts w:hint="default" w:ascii="Times New Roman" w:hAnsi="Times New Roman" w:eastAsia="宋体" w:cs="Times New Roman"/>
          <w:szCs w:val="18"/>
          <w:highlight w:val="none"/>
        </w:rPr>
        <w:footnoteRef/>
      </w:r>
      <w:r>
        <w:rPr>
          <w:rStyle w:val="29"/>
          <w:rFonts w:hint="eastAsia" w:ascii="Times New Roman" w:hAnsi="Times New Roman" w:eastAsia="宋体" w:cs="Times New Roman"/>
          <w:color w:val="000000" w:themeColor="text1"/>
          <w:szCs w:val="18"/>
          <w:highlight w:val="none"/>
          <w:vertAlign w:val="baseline"/>
          <w14:textFill>
            <w14:solidFill>
              <w14:schemeClr w14:val="tx1"/>
            </w14:solidFill>
          </w14:textFill>
        </w:rPr>
        <w:t>毛泽东，1991：《毛泽东选集》第</w:t>
      </w:r>
      <w:r>
        <w:rPr>
          <w:rStyle w:val="29"/>
          <w:rFonts w:hint="default" w:ascii="Times New Roman" w:hAnsi="Times New Roman" w:eastAsia="宋体" w:cs="Times New Roman"/>
          <w:color w:val="000000" w:themeColor="text1"/>
          <w:szCs w:val="18"/>
          <w:highlight w:val="none"/>
          <w:vertAlign w:val="baseline"/>
          <w14:textFill>
            <w14:solidFill>
              <w14:schemeClr w14:val="tx1"/>
            </w14:solidFill>
          </w14:textFill>
        </w:rPr>
        <w:t>3</w:t>
      </w:r>
      <w:r>
        <w:rPr>
          <w:rStyle w:val="29"/>
          <w:rFonts w:hint="eastAsia" w:ascii="Times New Roman" w:hAnsi="Times New Roman" w:eastAsia="宋体" w:cs="Times New Roman"/>
          <w:color w:val="000000" w:themeColor="text1"/>
          <w:szCs w:val="18"/>
          <w:highlight w:val="none"/>
          <w:vertAlign w:val="baseline"/>
          <w14:textFill>
            <w14:solidFill>
              <w14:schemeClr w14:val="tx1"/>
            </w14:solidFill>
          </w14:textFill>
        </w:rPr>
        <w:t>卷，北京：人民出版社，第</w:t>
      </w:r>
      <w:r>
        <w:rPr>
          <w:rStyle w:val="29"/>
          <w:rFonts w:hint="default" w:ascii="Times New Roman" w:hAnsi="Times New Roman" w:eastAsia="宋体" w:cs="Times New Roman"/>
          <w:color w:val="000000" w:themeColor="text1"/>
          <w:szCs w:val="18"/>
          <w:highlight w:val="none"/>
          <w:vertAlign w:val="baseline"/>
          <w14:textFill>
            <w14:solidFill>
              <w14:schemeClr w14:val="tx1"/>
            </w14:solidFill>
          </w14:textFill>
        </w:rPr>
        <w:t>1094</w:t>
      </w:r>
      <w:r>
        <w:rPr>
          <w:rStyle w:val="29"/>
          <w:rFonts w:hint="eastAsia" w:ascii="Times New Roman" w:hAnsi="Times New Roman" w:eastAsia="宋体" w:cs="Times New Roman"/>
          <w:color w:val="000000" w:themeColor="text1"/>
          <w:szCs w:val="18"/>
          <w:highlight w:val="none"/>
          <w:vertAlign w:val="baseline"/>
          <w14:textFill>
            <w14:solidFill>
              <w14:schemeClr w14:val="tx1"/>
            </w14:solidFill>
          </w14:textFill>
        </w:rPr>
        <w:t>页。</w:t>
      </w:r>
      <w:r>
        <w:rPr>
          <w:rFonts w:hint="eastAsia" w:ascii="Times New Roman" w:hAnsi="Times New Roman" w:eastAsia="宋体" w:cs="Times New Roman"/>
          <w:color w:val="FF0000"/>
          <w:szCs w:val="18"/>
          <w:highlight w:val="none"/>
          <w:vertAlign w:val="baseline"/>
          <w:lang w:eastAsia="zh-CN"/>
        </w:rPr>
        <w:t>（</w:t>
      </w:r>
      <w:r>
        <w:rPr>
          <w:rFonts w:hint="eastAsia" w:ascii="Times New Roman" w:hAnsi="Times New Roman" w:eastAsia="宋体" w:cs="Times New Roman"/>
          <w:color w:val="FF0000"/>
          <w:szCs w:val="18"/>
          <w:highlight w:val="none"/>
          <w:vertAlign w:val="baseline"/>
          <w:lang w:val="en-US" w:eastAsia="zh-CN"/>
        </w:rPr>
        <w:t>卷号用阿拉伯数字）</w:t>
      </w:r>
    </w:p>
  </w:footnote>
  <w:footnote w:id="5">
    <w:p w14:paraId="2B27BABD">
      <w:pPr>
        <w:pStyle w:val="14"/>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cs="Times New Roman"/>
          <w:szCs w:val="18"/>
          <w:highlight w:val="none"/>
        </w:rPr>
      </w:pPr>
      <w:r>
        <w:rPr>
          <w:rStyle w:val="29"/>
          <w:rFonts w:hint="default" w:ascii="Times New Roman" w:hAnsi="Times New Roman" w:eastAsia="宋体" w:cs="Times New Roman"/>
          <w:szCs w:val="18"/>
          <w:highlight w:val="none"/>
        </w:rPr>
        <w:footnoteRef/>
      </w:r>
      <w:r>
        <w:rPr>
          <w:rFonts w:hint="eastAsia" w:ascii="Times New Roman" w:hAnsi="Times New Roman" w:eastAsia="宋体" w:cs="Times New Roman"/>
          <w:szCs w:val="18"/>
          <w:highlight w:val="none"/>
        </w:rPr>
        <w:t>邓小平，1994：《邓小平文选》第</w:t>
      </w:r>
      <w:r>
        <w:rPr>
          <w:rFonts w:hint="default" w:ascii="Times New Roman" w:hAnsi="Times New Roman" w:eastAsia="宋体" w:cs="Times New Roman"/>
          <w:szCs w:val="18"/>
          <w:highlight w:val="none"/>
        </w:rPr>
        <w:t>2</w:t>
      </w:r>
      <w:r>
        <w:rPr>
          <w:rFonts w:hint="eastAsia" w:ascii="Times New Roman" w:hAnsi="Times New Roman" w:eastAsia="宋体" w:cs="Times New Roman"/>
          <w:szCs w:val="18"/>
          <w:highlight w:val="none"/>
        </w:rPr>
        <w:t>卷，北京：人民出版社，第</w:t>
      </w:r>
      <w:r>
        <w:rPr>
          <w:rFonts w:hint="default" w:ascii="Times New Roman" w:hAnsi="Times New Roman" w:eastAsia="宋体" w:cs="Times New Roman"/>
          <w:szCs w:val="18"/>
          <w:highlight w:val="none"/>
        </w:rPr>
        <w:t>27</w:t>
      </w:r>
      <w:r>
        <w:rPr>
          <w:rFonts w:hint="eastAsia" w:ascii="Times New Roman" w:hAnsi="Times New Roman" w:eastAsia="宋体" w:cs="Times New Roman"/>
          <w:szCs w:val="18"/>
          <w:highlight w:val="none"/>
        </w:rPr>
        <w:t>页。</w:t>
      </w:r>
      <w:r>
        <w:rPr>
          <w:rFonts w:hint="eastAsia" w:ascii="Times New Roman" w:hAnsi="Times New Roman" w:eastAsia="宋体" w:cs="Times New Roman"/>
          <w:color w:val="FF0000"/>
          <w:szCs w:val="18"/>
          <w:highlight w:val="none"/>
          <w:vertAlign w:val="baseline"/>
          <w:lang w:eastAsia="zh-CN"/>
        </w:rPr>
        <w:t>（</w:t>
      </w:r>
      <w:r>
        <w:rPr>
          <w:rFonts w:hint="eastAsia" w:ascii="Times New Roman" w:hAnsi="Times New Roman" w:eastAsia="宋体" w:cs="Times New Roman"/>
          <w:color w:val="FF0000"/>
          <w:szCs w:val="18"/>
          <w:highlight w:val="none"/>
          <w:vertAlign w:val="baseline"/>
          <w:lang w:val="en-US" w:eastAsia="zh-CN"/>
        </w:rPr>
        <w:t>卷号用阿拉伯数字）</w:t>
      </w:r>
    </w:p>
  </w:footnote>
  <w:footnote w:id="6">
    <w:p w14:paraId="2AF68D2D">
      <w:pPr>
        <w:pStyle w:val="14"/>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cs="Times New Roman"/>
          <w:szCs w:val="18"/>
          <w:highlight w:val="none"/>
        </w:rPr>
      </w:pPr>
      <w:r>
        <w:rPr>
          <w:rStyle w:val="29"/>
          <w:rFonts w:hint="default" w:ascii="Times New Roman" w:hAnsi="Times New Roman" w:eastAsia="宋体" w:cs="Times New Roman"/>
          <w:szCs w:val="18"/>
          <w:highlight w:val="none"/>
        </w:rPr>
        <w:footnoteRef/>
      </w:r>
      <w:r>
        <w:rPr>
          <w:rFonts w:hint="eastAsia" w:ascii="Times New Roman" w:hAnsi="Times New Roman" w:eastAsia="宋体" w:cs="Times New Roman"/>
          <w:szCs w:val="18"/>
          <w:highlight w:val="none"/>
        </w:rPr>
        <w:t>江泽民，2006：《江泽民文选》第</w:t>
      </w:r>
      <w:r>
        <w:rPr>
          <w:rFonts w:hint="default" w:ascii="Times New Roman" w:hAnsi="Times New Roman" w:eastAsia="宋体" w:cs="Times New Roman"/>
          <w:szCs w:val="18"/>
          <w:highlight w:val="none"/>
        </w:rPr>
        <w:t>3</w:t>
      </w:r>
      <w:r>
        <w:rPr>
          <w:rFonts w:hint="eastAsia" w:ascii="Times New Roman" w:hAnsi="Times New Roman" w:eastAsia="宋体" w:cs="Times New Roman"/>
          <w:szCs w:val="18"/>
          <w:highlight w:val="none"/>
        </w:rPr>
        <w:t>卷，北京：人民出版社，第</w:t>
      </w:r>
      <w:r>
        <w:rPr>
          <w:rFonts w:hint="default" w:ascii="Times New Roman" w:hAnsi="Times New Roman" w:eastAsia="宋体" w:cs="Times New Roman"/>
          <w:szCs w:val="18"/>
          <w:highlight w:val="none"/>
        </w:rPr>
        <w:t>281</w:t>
      </w:r>
      <w:r>
        <w:rPr>
          <w:rFonts w:hint="eastAsia" w:ascii="Times New Roman" w:hAnsi="Times New Roman" w:eastAsia="宋体" w:cs="Times New Roman"/>
          <w:szCs w:val="18"/>
          <w:highlight w:val="none"/>
        </w:rPr>
        <w:t>页。</w:t>
      </w:r>
      <w:r>
        <w:rPr>
          <w:rFonts w:hint="eastAsia" w:ascii="Times New Roman" w:hAnsi="Times New Roman" w:eastAsia="宋体" w:cs="Times New Roman"/>
          <w:color w:val="FF0000"/>
          <w:szCs w:val="18"/>
          <w:highlight w:val="none"/>
          <w:vertAlign w:val="baseline"/>
          <w:lang w:eastAsia="zh-CN"/>
        </w:rPr>
        <w:t>（</w:t>
      </w:r>
      <w:r>
        <w:rPr>
          <w:rFonts w:hint="eastAsia" w:ascii="Times New Roman" w:hAnsi="Times New Roman" w:eastAsia="宋体" w:cs="Times New Roman"/>
          <w:color w:val="FF0000"/>
          <w:szCs w:val="18"/>
          <w:highlight w:val="none"/>
          <w:vertAlign w:val="baseline"/>
          <w:lang w:val="en-US" w:eastAsia="zh-CN"/>
        </w:rPr>
        <w:t>卷号用阿拉伯数字）</w:t>
      </w:r>
      <w:r>
        <w:rPr>
          <w:rFonts w:ascii="Times New Roman" w:hAnsi="Times New Roman" w:eastAsia="宋体" w:cs="Times New Roman"/>
          <w:szCs w:val="18"/>
          <w:highlight w:val="none"/>
        </w:rPr>
        <w:t xml:space="preserve"> </w:t>
      </w:r>
    </w:p>
  </w:footnote>
  <w:footnote w:id="7">
    <w:p w14:paraId="0D37E78C">
      <w:pPr>
        <w:pStyle w:val="14"/>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cs="Times New Roman"/>
          <w:szCs w:val="18"/>
          <w:highlight w:val="none"/>
        </w:rPr>
      </w:pPr>
      <w:r>
        <w:rPr>
          <w:rStyle w:val="29"/>
          <w:rFonts w:hint="default" w:ascii="Times New Roman" w:hAnsi="Times New Roman" w:eastAsia="宋体" w:cs="Times New Roman"/>
          <w:szCs w:val="18"/>
          <w:highlight w:val="none"/>
        </w:rPr>
        <w:footnoteRef/>
      </w:r>
      <w:r>
        <w:rPr>
          <w:rFonts w:hint="eastAsia" w:ascii="Times New Roman" w:hAnsi="Times New Roman" w:eastAsia="宋体" w:cs="Times New Roman"/>
          <w:szCs w:val="18"/>
          <w:highlight w:val="none"/>
        </w:rPr>
        <w:t>胡锦涛，</w:t>
      </w:r>
      <w:r>
        <w:rPr>
          <w:rFonts w:hint="default" w:ascii="Times New Roman" w:hAnsi="Times New Roman" w:eastAsia="宋体" w:cs="Times New Roman"/>
          <w:szCs w:val="18"/>
          <w:highlight w:val="none"/>
        </w:rPr>
        <w:t>2016：</w:t>
      </w:r>
      <w:r>
        <w:rPr>
          <w:rFonts w:hint="eastAsia" w:ascii="Times New Roman" w:hAnsi="Times New Roman" w:eastAsia="宋体" w:cs="Times New Roman"/>
          <w:szCs w:val="18"/>
          <w:highlight w:val="none"/>
        </w:rPr>
        <w:t>《胡锦涛文选》第</w:t>
      </w:r>
      <w:r>
        <w:rPr>
          <w:rFonts w:hint="default" w:ascii="Times New Roman" w:hAnsi="Times New Roman" w:eastAsia="宋体" w:cs="Times New Roman"/>
          <w:szCs w:val="18"/>
          <w:highlight w:val="none"/>
        </w:rPr>
        <w:t>2</w:t>
      </w:r>
      <w:r>
        <w:rPr>
          <w:rFonts w:hint="eastAsia" w:ascii="Times New Roman" w:hAnsi="Times New Roman" w:eastAsia="宋体" w:cs="Times New Roman"/>
          <w:szCs w:val="18"/>
          <w:highlight w:val="none"/>
        </w:rPr>
        <w:t>卷，北京：人民出版社，第</w:t>
      </w:r>
      <w:r>
        <w:rPr>
          <w:rFonts w:hint="default" w:ascii="Times New Roman" w:hAnsi="Times New Roman" w:eastAsia="宋体" w:cs="Times New Roman"/>
          <w:szCs w:val="18"/>
          <w:highlight w:val="none"/>
        </w:rPr>
        <w:t>365</w:t>
      </w:r>
      <w:r>
        <w:rPr>
          <w:rFonts w:hint="eastAsia" w:ascii="Times New Roman" w:hAnsi="Times New Roman" w:eastAsia="宋体" w:cs="Times New Roman"/>
          <w:szCs w:val="18"/>
          <w:highlight w:val="none"/>
        </w:rPr>
        <w:t>页。</w:t>
      </w:r>
      <w:r>
        <w:rPr>
          <w:rFonts w:ascii="Times New Roman" w:hAnsi="Times New Roman" w:eastAsia="宋体" w:cs="Times New Roman"/>
          <w:szCs w:val="18"/>
          <w:highlight w:val="none"/>
        </w:rPr>
        <w:t xml:space="preserve"> </w:t>
      </w:r>
    </w:p>
  </w:footnote>
  <w:footnote w:id="8">
    <w:p w14:paraId="45B29C52">
      <w:pPr>
        <w:pStyle w:val="14"/>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cs="Times New Roman"/>
          <w:szCs w:val="18"/>
          <w:highlight w:val="none"/>
        </w:rPr>
      </w:pPr>
      <w:r>
        <w:rPr>
          <w:rStyle w:val="29"/>
          <w:rFonts w:hint="default" w:ascii="Times New Roman" w:hAnsi="Times New Roman" w:eastAsia="宋体" w:cs="Times New Roman"/>
          <w:szCs w:val="18"/>
          <w:highlight w:val="none"/>
        </w:rPr>
        <w:footnoteRef/>
      </w:r>
      <w:r>
        <w:rPr>
          <w:rFonts w:hint="eastAsia" w:ascii="Times New Roman" w:hAnsi="Times New Roman" w:eastAsia="宋体" w:cs="Times New Roman"/>
          <w:szCs w:val="18"/>
          <w:highlight w:val="none"/>
        </w:rPr>
        <w:t>习近平，</w:t>
      </w:r>
      <w:r>
        <w:rPr>
          <w:rFonts w:hint="default" w:ascii="Times New Roman" w:hAnsi="Times New Roman" w:eastAsia="宋体" w:cs="Times New Roman"/>
          <w:szCs w:val="18"/>
          <w:highlight w:val="none"/>
        </w:rPr>
        <w:t>2018：</w:t>
      </w:r>
      <w:r>
        <w:rPr>
          <w:rFonts w:hint="eastAsia" w:ascii="Times New Roman" w:hAnsi="Times New Roman" w:eastAsia="宋体" w:cs="Times New Roman"/>
          <w:szCs w:val="18"/>
          <w:highlight w:val="none"/>
        </w:rPr>
        <w:t>《习近平谈治国理政》第</w:t>
      </w:r>
      <w:r>
        <w:rPr>
          <w:rFonts w:hint="default" w:ascii="Times New Roman" w:hAnsi="Times New Roman" w:eastAsia="宋体" w:cs="Times New Roman"/>
          <w:szCs w:val="18"/>
          <w:highlight w:val="none"/>
        </w:rPr>
        <w:t>3</w:t>
      </w:r>
      <w:r>
        <w:rPr>
          <w:rFonts w:hint="eastAsia" w:ascii="Times New Roman" w:hAnsi="Times New Roman" w:eastAsia="宋体" w:cs="Times New Roman"/>
          <w:szCs w:val="18"/>
          <w:highlight w:val="none"/>
        </w:rPr>
        <w:t>卷，北京：外文出版社，第</w:t>
      </w:r>
      <w:r>
        <w:rPr>
          <w:rFonts w:hint="default" w:ascii="Times New Roman" w:hAnsi="Times New Roman" w:eastAsia="宋体" w:cs="Times New Roman"/>
          <w:szCs w:val="18"/>
          <w:highlight w:val="none"/>
        </w:rPr>
        <w:t>133-144</w:t>
      </w:r>
      <w:r>
        <w:rPr>
          <w:rFonts w:hint="eastAsia" w:ascii="Times New Roman" w:hAnsi="Times New Roman" w:eastAsia="宋体" w:cs="Times New Roman"/>
          <w:szCs w:val="18"/>
          <w:highlight w:val="none"/>
        </w:rPr>
        <w:t>页。</w:t>
      </w:r>
      <w:r>
        <w:rPr>
          <w:rFonts w:ascii="Times New Roman" w:hAnsi="Times New Roman" w:eastAsia="宋体" w:cs="Times New Roman"/>
          <w:szCs w:val="18"/>
          <w:highlight w:val="none"/>
        </w:rPr>
        <w:t xml:space="preserve"> </w:t>
      </w:r>
    </w:p>
  </w:footnote>
  <w:footnote w:id="9">
    <w:p w14:paraId="2562DCC3">
      <w:pPr>
        <w:pStyle w:val="14"/>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cs="Times New Roman"/>
          <w:szCs w:val="18"/>
          <w:highlight w:val="none"/>
        </w:rPr>
      </w:pPr>
      <w:r>
        <w:rPr>
          <w:rStyle w:val="29"/>
          <w:rFonts w:hint="default" w:ascii="Times New Roman" w:hAnsi="Times New Roman" w:eastAsia="宋体" w:cs="Times New Roman"/>
          <w:szCs w:val="18"/>
          <w:highlight w:val="none"/>
        </w:rPr>
        <w:footnoteRef/>
      </w:r>
      <w:r>
        <w:rPr>
          <w:rFonts w:hint="eastAsia" w:ascii="Times New Roman" w:hAnsi="Times New Roman" w:eastAsia="宋体" w:cs="Times New Roman"/>
          <w:szCs w:val="18"/>
          <w:highlight w:val="none"/>
        </w:rPr>
        <w:t>中共中央马克思恩格斯列宁斯大林著作编译局，</w:t>
      </w:r>
      <w:r>
        <w:rPr>
          <w:rFonts w:hint="default" w:ascii="Times New Roman" w:hAnsi="Times New Roman" w:eastAsia="宋体" w:cs="Times New Roman"/>
          <w:szCs w:val="18"/>
          <w:highlight w:val="none"/>
        </w:rPr>
        <w:t>2009</w:t>
      </w:r>
      <w:r>
        <w:rPr>
          <w:rFonts w:hint="eastAsia" w:ascii="Times New Roman" w:hAnsi="Times New Roman" w:eastAsia="宋体" w:cs="Times New Roman"/>
          <w:szCs w:val="18"/>
          <w:highlight w:val="none"/>
        </w:rPr>
        <w:t>：《马克思恩格斯文集》第</w:t>
      </w:r>
      <w:r>
        <w:rPr>
          <w:rFonts w:hint="default" w:ascii="Times New Roman" w:hAnsi="Times New Roman" w:eastAsia="宋体" w:cs="Times New Roman"/>
          <w:szCs w:val="18"/>
          <w:highlight w:val="none"/>
        </w:rPr>
        <w:t>9</w:t>
      </w:r>
      <w:r>
        <w:rPr>
          <w:rFonts w:hint="eastAsia" w:ascii="Times New Roman" w:hAnsi="Times New Roman" w:eastAsia="宋体" w:cs="Times New Roman"/>
          <w:szCs w:val="18"/>
          <w:highlight w:val="none"/>
        </w:rPr>
        <w:t>卷，北京：人民出版社，第</w:t>
      </w:r>
      <w:r>
        <w:rPr>
          <w:rFonts w:hint="default" w:ascii="Times New Roman" w:hAnsi="Times New Roman" w:eastAsia="宋体" w:cs="Times New Roman"/>
          <w:szCs w:val="18"/>
          <w:highlight w:val="none"/>
        </w:rPr>
        <w:t>120</w:t>
      </w:r>
      <w:r>
        <w:rPr>
          <w:rFonts w:hint="eastAsia" w:ascii="Times New Roman" w:hAnsi="Times New Roman" w:eastAsia="宋体" w:cs="Times New Roman"/>
          <w:szCs w:val="18"/>
          <w:highlight w:val="none"/>
        </w:rPr>
        <w:t>页。</w:t>
      </w:r>
      <w:r>
        <w:rPr>
          <w:rFonts w:ascii="Times New Roman" w:hAnsi="Times New Roman" w:eastAsia="宋体" w:cs="Times New Roman"/>
          <w:szCs w:val="18"/>
          <w:highlight w:val="none"/>
        </w:rPr>
        <w:t xml:space="preserve"> </w:t>
      </w:r>
    </w:p>
  </w:footnote>
  <w:footnote w:id="10">
    <w:p w14:paraId="26D48701">
      <w:pPr>
        <w:spacing w:line="240" w:lineRule="atLeast"/>
        <w:rPr>
          <w:rFonts w:ascii="Times New Roman" w:hAnsi="Times New Roman" w:eastAsia="宋体" w:cs="Times New Roman"/>
          <w:sz w:val="18"/>
          <w:szCs w:val="18"/>
        </w:rPr>
      </w:pPr>
      <w:r>
        <w:rPr>
          <w:rFonts w:hint="default" w:ascii="Times New Roman" w:hAnsi="Times New Roman" w:eastAsia="宋体" w:cs="Times New Roman"/>
          <w:sz w:val="18"/>
          <w:szCs w:val="18"/>
          <w:vertAlign w:val="superscript"/>
        </w:rPr>
        <w:footnoteRef/>
      </w:r>
      <w:r>
        <w:rPr>
          <w:rFonts w:hint="eastAsia" w:ascii="Times New Roman" w:hAnsi="Times New Roman" w:eastAsia="宋体" w:cs="Times New Roman"/>
          <w:spacing w:val="-1"/>
          <w:sz w:val="18"/>
          <w:szCs w:val="18"/>
          <w:lang w:eastAsia="zh-Hans"/>
        </w:rPr>
        <w:t>〔</w:t>
      </w:r>
      <w:r>
        <w:rPr>
          <w:rFonts w:hint="eastAsia" w:ascii="Times New Roman" w:hAnsi="Times New Roman" w:eastAsia="宋体" w:cs="Times New Roman"/>
          <w:sz w:val="18"/>
          <w:szCs w:val="18"/>
        </w:rPr>
        <w:t>唐</w:t>
      </w:r>
      <w:r>
        <w:rPr>
          <w:rFonts w:hint="eastAsia" w:ascii="Times New Roman" w:hAnsi="Times New Roman" w:eastAsia="宋体" w:cs="Times New Roman"/>
          <w:spacing w:val="-1"/>
          <w:sz w:val="18"/>
          <w:szCs w:val="18"/>
          <w:lang w:eastAsia="zh-Hans"/>
        </w:rPr>
        <w:t>〕</w:t>
      </w:r>
      <w:r>
        <w:rPr>
          <w:rFonts w:hint="eastAsia" w:ascii="Times New Roman" w:hAnsi="Times New Roman" w:eastAsia="宋体" w:cs="Times New Roman"/>
          <w:sz w:val="18"/>
          <w:szCs w:val="18"/>
        </w:rPr>
        <w:t>房玄龄</w:t>
      </w:r>
      <w:r>
        <w:rPr>
          <w:rFonts w:hint="eastAsia" w:ascii="Times New Roman" w:hAnsi="Times New Roman" w:eastAsia="宋体" w:cs="Times New Roman"/>
          <w:sz w:val="18"/>
          <w:szCs w:val="18"/>
          <w:lang w:eastAsia="zh-Hans"/>
        </w:rPr>
        <w:t>等撰</w:t>
      </w:r>
      <w:r>
        <w:rPr>
          <w:rFonts w:hint="eastAsia" w:ascii="Times New Roman" w:hAnsi="Times New Roman" w:eastAsia="宋体" w:cs="Times New Roman"/>
          <w:sz w:val="18"/>
          <w:szCs w:val="18"/>
        </w:rPr>
        <w:t>，1974：《晋书》卷</w:t>
      </w:r>
      <w:r>
        <w:rPr>
          <w:rFonts w:hint="eastAsia" w:ascii="Times New Roman" w:hAnsi="Times New Roman" w:eastAsia="宋体" w:cs="Times New Roman"/>
          <w:sz w:val="18"/>
          <w:szCs w:val="18"/>
          <w:highlight w:val="yellow"/>
        </w:rPr>
        <w:t>38</w:t>
      </w:r>
      <w:r>
        <w:rPr>
          <w:rFonts w:hint="eastAsia" w:ascii="Times New Roman" w:hAnsi="Times New Roman" w:eastAsia="宋体" w:cs="Times New Roman"/>
          <w:sz w:val="18"/>
          <w:szCs w:val="18"/>
        </w:rPr>
        <w:t>《文六王传》，北京：中华书局，第1132页。</w:t>
      </w:r>
    </w:p>
  </w:footnote>
  <w:footnote w:id="11">
    <w:p w14:paraId="6D53D89A">
      <w:pPr>
        <w:spacing w:line="240" w:lineRule="atLeast"/>
        <w:rPr>
          <w:rFonts w:ascii="Times New Roman" w:hAnsi="Times New Roman" w:eastAsia="宋体" w:cs="Times New Roman"/>
          <w:sz w:val="18"/>
          <w:szCs w:val="18"/>
          <w:highlight w:val="none"/>
        </w:rPr>
      </w:pPr>
      <w:r>
        <w:rPr>
          <w:rFonts w:hint="default" w:ascii="Times New Roman" w:hAnsi="Times New Roman" w:eastAsia="宋体" w:cs="Times New Roman"/>
          <w:sz w:val="18"/>
          <w:szCs w:val="18"/>
          <w:vertAlign w:val="superscript"/>
        </w:rPr>
        <w:footnoteRef/>
      </w:r>
      <w:r>
        <w:rPr>
          <w:rFonts w:hint="eastAsia" w:ascii="Times New Roman" w:hAnsi="Times New Roman" w:eastAsia="宋体" w:cs="Times New Roman"/>
          <w:spacing w:val="-1"/>
          <w:sz w:val="18"/>
          <w:szCs w:val="18"/>
          <w:lang w:eastAsia="zh-Hans"/>
        </w:rPr>
        <w:t>〔</w:t>
      </w:r>
      <w:r>
        <w:rPr>
          <w:rFonts w:hint="eastAsia" w:ascii="Times New Roman" w:hAnsi="Times New Roman" w:eastAsia="宋体" w:cs="Times New Roman"/>
          <w:sz w:val="18"/>
          <w:szCs w:val="18"/>
        </w:rPr>
        <w:t>清</w:t>
      </w:r>
      <w:r>
        <w:rPr>
          <w:rFonts w:hint="eastAsia" w:ascii="Times New Roman" w:hAnsi="Times New Roman" w:eastAsia="宋体" w:cs="Times New Roman"/>
          <w:spacing w:val="-1"/>
          <w:sz w:val="18"/>
          <w:szCs w:val="18"/>
          <w:lang w:eastAsia="zh-Hans"/>
        </w:rPr>
        <w:t>〕</w:t>
      </w:r>
      <w:r>
        <w:rPr>
          <w:rFonts w:hint="eastAsia" w:ascii="Times New Roman" w:hAnsi="Times New Roman" w:eastAsia="宋体" w:cs="Times New Roman"/>
          <w:sz w:val="18"/>
          <w:szCs w:val="18"/>
        </w:rPr>
        <w:t>焦循撰，1987：《孟子正义》卷2《梁惠</w:t>
      </w:r>
      <w:r>
        <w:rPr>
          <w:rFonts w:hint="eastAsia" w:ascii="Times New Roman" w:hAnsi="Times New Roman" w:eastAsia="宋体" w:cs="Times New Roman"/>
          <w:sz w:val="18"/>
          <w:szCs w:val="18"/>
          <w:highlight w:val="none"/>
        </w:rPr>
        <w:t>王上》，沈文倬点校，北京：中华书局，第55</w:t>
      </w:r>
      <w:r>
        <w:rPr>
          <w:rFonts w:hint="eastAsia" w:ascii="Times New Roman" w:hAnsi="Times New Roman" w:eastAsia="宋体" w:cs="Times New Roman"/>
          <w:sz w:val="18"/>
          <w:szCs w:val="18"/>
          <w:highlight w:val="none"/>
          <w:lang w:val="en-US" w:eastAsia="zh-CN"/>
        </w:rPr>
        <w:t>页</w:t>
      </w:r>
      <w:r>
        <w:rPr>
          <w:rFonts w:hint="eastAsia" w:ascii="Times New Roman" w:hAnsi="Times New Roman" w:eastAsia="宋体" w:cs="Times New Roman"/>
          <w:sz w:val="18"/>
          <w:szCs w:val="18"/>
          <w:highlight w:val="none"/>
          <w:lang w:eastAsia="zh-Hans"/>
        </w:rPr>
        <w:t>、</w:t>
      </w:r>
      <w:r>
        <w:rPr>
          <w:rFonts w:hint="eastAsia" w:ascii="Times New Roman" w:hAnsi="Times New Roman" w:eastAsia="宋体" w:cs="Times New Roman"/>
          <w:sz w:val="18"/>
          <w:szCs w:val="18"/>
          <w:highlight w:val="none"/>
          <w:lang w:val="en-US" w:eastAsia="zh-CN"/>
        </w:rPr>
        <w:t>第</w:t>
      </w:r>
      <w:r>
        <w:rPr>
          <w:rFonts w:hint="eastAsia" w:ascii="Times New Roman" w:hAnsi="Times New Roman" w:eastAsia="宋体" w:cs="Times New Roman"/>
          <w:sz w:val="18"/>
          <w:szCs w:val="18"/>
          <w:highlight w:val="none"/>
        </w:rPr>
        <w:t>58页。</w:t>
      </w:r>
    </w:p>
  </w:footnote>
  <w:footnote w:id="12">
    <w:p w14:paraId="4ACF04BB">
      <w:pPr>
        <w:spacing w:line="240" w:lineRule="atLeast"/>
        <w:rPr>
          <w:rFonts w:ascii="Times New Roman" w:hAnsi="Times New Roman" w:eastAsia="宋体" w:cs="Times New Roman"/>
          <w:sz w:val="18"/>
          <w:szCs w:val="18"/>
          <w:highlight w:val="none"/>
          <w:lang w:eastAsia="zh-Hans"/>
        </w:rPr>
      </w:pPr>
      <w:r>
        <w:rPr>
          <w:rFonts w:hint="default" w:ascii="Times New Roman" w:hAnsi="Times New Roman" w:eastAsia="宋体" w:cs="Times New Roman"/>
          <w:sz w:val="18"/>
          <w:szCs w:val="18"/>
          <w:highlight w:val="none"/>
          <w:vertAlign w:val="superscript"/>
        </w:rPr>
        <w:footnoteRef/>
      </w:r>
      <w:r>
        <w:rPr>
          <w:rFonts w:hint="eastAsia" w:ascii="Times New Roman" w:hAnsi="Times New Roman" w:eastAsia="宋体" w:cs="Times New Roman"/>
          <w:spacing w:val="-1"/>
          <w:sz w:val="18"/>
          <w:szCs w:val="18"/>
          <w:highlight w:val="none"/>
          <w:lang w:eastAsia="zh-Hans"/>
        </w:rPr>
        <w:t>〔</w:t>
      </w:r>
      <w:r>
        <w:rPr>
          <w:rFonts w:hint="eastAsia" w:ascii="Times New Roman" w:hAnsi="Times New Roman" w:eastAsia="宋体" w:cs="Times New Roman"/>
          <w:sz w:val="18"/>
          <w:szCs w:val="18"/>
          <w:highlight w:val="none"/>
        </w:rPr>
        <w:t>清</w:t>
      </w:r>
      <w:r>
        <w:rPr>
          <w:rFonts w:hint="eastAsia" w:ascii="Times New Roman" w:hAnsi="Times New Roman" w:eastAsia="宋体" w:cs="Times New Roman"/>
          <w:spacing w:val="-1"/>
          <w:sz w:val="18"/>
          <w:szCs w:val="18"/>
          <w:highlight w:val="none"/>
          <w:lang w:eastAsia="zh-Hans"/>
        </w:rPr>
        <w:t>〕</w:t>
      </w:r>
      <w:r>
        <w:rPr>
          <w:rFonts w:hint="eastAsia" w:ascii="Times New Roman" w:hAnsi="Times New Roman" w:eastAsia="宋体" w:cs="Times New Roman"/>
          <w:sz w:val="18"/>
          <w:szCs w:val="18"/>
          <w:highlight w:val="none"/>
        </w:rPr>
        <w:t>焦循撰，1</w:t>
      </w:r>
      <w:r>
        <w:rPr>
          <w:rFonts w:ascii="Times New Roman" w:hAnsi="Times New Roman" w:eastAsia="宋体" w:cs="Times New Roman"/>
          <w:sz w:val="18"/>
          <w:szCs w:val="18"/>
          <w:highlight w:val="none"/>
        </w:rPr>
        <w:t>987</w:t>
      </w:r>
      <w:r>
        <w:rPr>
          <w:rFonts w:hint="eastAsia" w:ascii="Times New Roman" w:hAnsi="Times New Roman" w:eastAsia="宋体" w:cs="Times New Roman"/>
          <w:sz w:val="18"/>
          <w:szCs w:val="18"/>
          <w:highlight w:val="none"/>
        </w:rPr>
        <w:t>：《孟子正义》卷1</w:t>
      </w:r>
      <w:r>
        <w:rPr>
          <w:rFonts w:ascii="Times New Roman" w:hAnsi="Times New Roman" w:eastAsia="宋体" w:cs="Times New Roman"/>
          <w:sz w:val="18"/>
          <w:szCs w:val="18"/>
          <w:highlight w:val="none"/>
        </w:rPr>
        <w:t>0</w:t>
      </w:r>
      <w:r>
        <w:rPr>
          <w:rFonts w:hint="eastAsia" w:ascii="Times New Roman" w:hAnsi="Times New Roman" w:eastAsia="宋体" w:cs="Times New Roman"/>
          <w:sz w:val="18"/>
          <w:szCs w:val="18"/>
          <w:highlight w:val="none"/>
        </w:rPr>
        <w:t>《滕文公上》，沈文倬点校，北京：中华书局，第3</w:t>
      </w:r>
      <w:r>
        <w:rPr>
          <w:rFonts w:ascii="Times New Roman" w:hAnsi="Times New Roman" w:eastAsia="宋体" w:cs="Times New Roman"/>
          <w:sz w:val="18"/>
          <w:szCs w:val="18"/>
          <w:highlight w:val="none"/>
        </w:rPr>
        <w:t>48</w:t>
      </w:r>
      <w:r>
        <w:rPr>
          <w:rFonts w:hint="eastAsia" w:ascii="Times New Roman" w:hAnsi="Times New Roman" w:eastAsia="宋体" w:cs="Times New Roman"/>
          <w:sz w:val="18"/>
          <w:szCs w:val="18"/>
          <w:highlight w:val="none"/>
        </w:rPr>
        <w:t>页。</w:t>
      </w:r>
    </w:p>
  </w:footnote>
  <w:footnote w:id="13">
    <w:p w14:paraId="686F4FC3">
      <w:pPr>
        <w:spacing w:line="240" w:lineRule="atLeast"/>
        <w:rPr>
          <w:rFonts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vertAlign w:val="superscript"/>
        </w:rPr>
        <w:footnoteRef/>
      </w:r>
      <w:r>
        <w:rPr>
          <w:rFonts w:hint="eastAsia" w:ascii="Times New Roman" w:hAnsi="Times New Roman" w:eastAsia="宋体" w:cs="Times New Roman"/>
          <w:spacing w:val="-1"/>
          <w:sz w:val="18"/>
          <w:szCs w:val="18"/>
          <w:highlight w:val="none"/>
          <w:lang w:eastAsia="zh-Hans"/>
        </w:rPr>
        <w:t>〔</w:t>
      </w:r>
      <w:r>
        <w:rPr>
          <w:rFonts w:hint="eastAsia" w:ascii="Times New Roman" w:hAnsi="Times New Roman" w:eastAsia="宋体" w:cs="Times New Roman"/>
          <w:sz w:val="18"/>
          <w:szCs w:val="18"/>
          <w:highlight w:val="none"/>
        </w:rPr>
        <w:t>清</w:t>
      </w:r>
      <w:r>
        <w:rPr>
          <w:rFonts w:hint="eastAsia" w:ascii="Times New Roman" w:hAnsi="Times New Roman" w:eastAsia="宋体" w:cs="Times New Roman"/>
          <w:spacing w:val="-1"/>
          <w:sz w:val="18"/>
          <w:szCs w:val="18"/>
          <w:highlight w:val="none"/>
          <w:lang w:eastAsia="zh-Hans"/>
        </w:rPr>
        <w:t>〕</w:t>
      </w:r>
      <w:r>
        <w:rPr>
          <w:rFonts w:hint="eastAsia" w:ascii="Times New Roman" w:hAnsi="Times New Roman" w:eastAsia="宋体" w:cs="Times New Roman"/>
          <w:sz w:val="18"/>
          <w:szCs w:val="18"/>
          <w:highlight w:val="none"/>
        </w:rPr>
        <w:t>焦循撰，1987：《孟子正义》卷27《尽心上》，沈文倬点校，北京：中华书局，第912页。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0448">
    <w:pPr>
      <w:pStyle w:val="13"/>
      <w:rPr>
        <w:rFonts w:hint="default" w:ascii="宋体" w:hAnsi="宋体" w:eastAsia="黑体" w:cs="宋体"/>
        <w:lang w:val="en-US" w:eastAsia="zh-CN"/>
      </w:rPr>
    </w:pPr>
    <w:r>
      <w:rPr>
        <w:rFonts w:hint="eastAsia" w:ascii="黑体" w:hAnsi="黑体" w:eastAsia="黑体" w:cs="黑体"/>
        <w:lang w:val="en-US" w:eastAsia="zh-CN"/>
      </w:rPr>
      <w:t>作者名字</w:t>
    </w:r>
    <w:r>
      <w:rPr>
        <w:rFonts w:hint="eastAsia" w:ascii="黑体" w:hAnsi="黑体" w:eastAsia="黑体" w:cs="黑体"/>
        <w:lang w:eastAsia="zh-CN"/>
      </w:rPr>
      <w:t>：</w:t>
    </w:r>
    <w:r>
      <w:rPr>
        <w:rFonts w:hint="eastAsia" w:ascii="黑体" w:hAnsi="黑体" w:eastAsia="黑体" w:cs="黑体"/>
        <w:lang w:val="en-US" w:eastAsia="zh-CN"/>
      </w:rPr>
      <w:t>标题（如：××：新型农村集体经济何以有效运行）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8F92">
    <w:pPr>
      <w:pStyle w:val="13"/>
    </w:pPr>
    <w:r>
      <w:rPr>
        <w:sz w:val="18"/>
        <w:szCs w:val="18"/>
      </w:rPr>
      <w:drawing>
        <wp:inline distT="0" distB="0" distL="114300" distR="114300">
          <wp:extent cx="954405" cy="151130"/>
          <wp:effectExtent l="0" t="0" r="7620" b="1270"/>
          <wp:docPr id="13" name="图片 13" descr="中国农村观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中国农村观察副本"/>
                  <pic:cNvPicPr>
                    <a:picLocks noChangeAspect="1"/>
                  </pic:cNvPicPr>
                </pic:nvPicPr>
                <pic:blipFill>
                  <a:blip r:embed="rId1"/>
                  <a:stretch>
                    <a:fillRect/>
                  </a:stretch>
                </pic:blipFill>
                <pic:spPr>
                  <a:xfrm>
                    <a:off x="0" y="0"/>
                    <a:ext cx="954405" cy="151130"/>
                  </a:xfrm>
                  <a:prstGeom prst="rect">
                    <a:avLst/>
                  </a:prstGeom>
                  <a:noFill/>
                  <a:ln>
                    <a:noFill/>
                  </a:ln>
                </pic:spPr>
              </pic:pic>
            </a:graphicData>
          </a:graphic>
        </wp:inline>
      </w:drawing>
    </w:r>
    <w:r>
      <w:rPr>
        <w:rFonts w:ascii="Times New Roman" w:hAnsi="Times New Roman" w:cs="Times New Roman"/>
      </w:rPr>
      <w:t xml:space="preserve">                                                          </w:t>
    </w:r>
    <w:r>
      <w:rPr>
        <w:rFonts w:hint="default" w:ascii="Times New Roman" w:hAnsi="Times New Roman" w:eastAsia="黑体" w:cs="Times New Roman"/>
        <w:sz w:val="18"/>
        <w:szCs w:val="18"/>
      </w:rPr>
      <w:t>2025年第</w:t>
    </w:r>
    <w:r>
      <w:rPr>
        <w:rFonts w:hint="eastAsia" w:ascii="Times New Roman" w:hAnsi="Times New Roman" w:eastAsia="楷体" w:cs="Times New Roman"/>
        <w:color w:val="000000"/>
        <w:kern w:val="0"/>
        <w:sz w:val="18"/>
        <w:szCs w:val="18"/>
      </w:rPr>
      <w:t>×</w:t>
    </w:r>
    <w:r>
      <w:rPr>
        <w:rFonts w:hint="default" w:ascii="Times New Roman" w:hAnsi="Times New Roman" w:eastAsia="黑体" w:cs="Times New Roman"/>
        <w:sz w:val="18"/>
        <w:szCs w:val="18"/>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72F1F"/>
    <w:multiLevelType w:val="singleLevel"/>
    <w:tmpl w:val="8C872F1F"/>
    <w:lvl w:ilvl="0" w:tentative="0">
      <w:start w:val="2"/>
      <w:numFmt w:val="decimal"/>
      <w:suff w:val="space"/>
      <w:lvlText w:val="%1."/>
      <w:lvlJc w:val="left"/>
    </w:lvl>
  </w:abstractNum>
  <w:abstractNum w:abstractNumId="1">
    <w:nsid w:val="CE646A4E"/>
    <w:multiLevelType w:val="singleLevel"/>
    <w:tmpl w:val="CE646A4E"/>
    <w:lvl w:ilvl="0" w:tentative="0">
      <w:start w:val="1"/>
      <w:numFmt w:val="decimal"/>
      <w:suff w:val="space"/>
      <w:lvlText w:val="(%1."/>
      <w:lvlJc w:val="left"/>
    </w:lvl>
  </w:abstractNum>
  <w:abstractNum w:abstractNumId="2">
    <w:nsid w:val="DA2D619F"/>
    <w:multiLevelType w:val="singleLevel"/>
    <w:tmpl w:val="DA2D619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1"/>
  <w:bordersDoNotSurroundFooter w:val="1"/>
  <w:documentProtection w:enforcement="0"/>
  <w:defaultTabStop w:val="420"/>
  <w:drawingGridHorizontalSpacing w:val="98"/>
  <w:drawingGridVerticalSpacing w:val="183"/>
  <w:noPunctuationKerning w:val="1"/>
  <w:characterSpacingControl w:val="compressPunctuation"/>
  <w:footnotePr>
    <w:numFmt w:val="decimalEnclosedCircleChinese"/>
    <w:numRestart w:val="eachPage"/>
    <w:footnote w:id="28"/>
    <w:footnote w:id="2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tLAwMDI0MzIwNTNT0lEKTi0uzszPAykwqQUAIOyJDCwAAAA="/>
    <w:docVar w:name="commondata" w:val="eyJoZGlkIjoiNWYzZjY3NTJiYjgwOTY5M2RhMjk1Zjk2ZGU2NTY5ZDMifQ=="/>
  </w:docVars>
  <w:rsids>
    <w:rsidRoot w:val="00172A27"/>
    <w:rsid w:val="000014CF"/>
    <w:rsid w:val="000052D0"/>
    <w:rsid w:val="00007B96"/>
    <w:rsid w:val="00010F5A"/>
    <w:rsid w:val="000116E9"/>
    <w:rsid w:val="00011A44"/>
    <w:rsid w:val="000145C6"/>
    <w:rsid w:val="0001462E"/>
    <w:rsid w:val="00014A81"/>
    <w:rsid w:val="00014D60"/>
    <w:rsid w:val="00016523"/>
    <w:rsid w:val="00016C82"/>
    <w:rsid w:val="00017EC8"/>
    <w:rsid w:val="000215DD"/>
    <w:rsid w:val="00021DC9"/>
    <w:rsid w:val="00022635"/>
    <w:rsid w:val="0002309A"/>
    <w:rsid w:val="0002390E"/>
    <w:rsid w:val="00023968"/>
    <w:rsid w:val="000243FF"/>
    <w:rsid w:val="0002538D"/>
    <w:rsid w:val="0002659C"/>
    <w:rsid w:val="0003158C"/>
    <w:rsid w:val="00032159"/>
    <w:rsid w:val="00032FC0"/>
    <w:rsid w:val="00033600"/>
    <w:rsid w:val="00033ECE"/>
    <w:rsid w:val="0003408C"/>
    <w:rsid w:val="0003425D"/>
    <w:rsid w:val="000347B8"/>
    <w:rsid w:val="000349B9"/>
    <w:rsid w:val="00036272"/>
    <w:rsid w:val="000378AD"/>
    <w:rsid w:val="00037E2F"/>
    <w:rsid w:val="00037E30"/>
    <w:rsid w:val="00042DC9"/>
    <w:rsid w:val="00046E56"/>
    <w:rsid w:val="000513BB"/>
    <w:rsid w:val="0005195C"/>
    <w:rsid w:val="00051B17"/>
    <w:rsid w:val="00051F1E"/>
    <w:rsid w:val="000523B6"/>
    <w:rsid w:val="00052973"/>
    <w:rsid w:val="00053030"/>
    <w:rsid w:val="00054DE5"/>
    <w:rsid w:val="00055673"/>
    <w:rsid w:val="00056091"/>
    <w:rsid w:val="00061F52"/>
    <w:rsid w:val="000620DE"/>
    <w:rsid w:val="00062352"/>
    <w:rsid w:val="0006238C"/>
    <w:rsid w:val="00062637"/>
    <w:rsid w:val="000636D5"/>
    <w:rsid w:val="00064C1E"/>
    <w:rsid w:val="00064CAF"/>
    <w:rsid w:val="00065365"/>
    <w:rsid w:val="000706ED"/>
    <w:rsid w:val="00070888"/>
    <w:rsid w:val="00070893"/>
    <w:rsid w:val="00071E51"/>
    <w:rsid w:val="00071FF1"/>
    <w:rsid w:val="000721C1"/>
    <w:rsid w:val="000734DE"/>
    <w:rsid w:val="00073B0E"/>
    <w:rsid w:val="00075C42"/>
    <w:rsid w:val="0007714E"/>
    <w:rsid w:val="00080FBA"/>
    <w:rsid w:val="000812D1"/>
    <w:rsid w:val="00081841"/>
    <w:rsid w:val="0008189E"/>
    <w:rsid w:val="000827D2"/>
    <w:rsid w:val="00082A0C"/>
    <w:rsid w:val="00083C9B"/>
    <w:rsid w:val="00086177"/>
    <w:rsid w:val="000862BE"/>
    <w:rsid w:val="00087509"/>
    <w:rsid w:val="0009020F"/>
    <w:rsid w:val="00091188"/>
    <w:rsid w:val="0009160E"/>
    <w:rsid w:val="00092AD6"/>
    <w:rsid w:val="0009300E"/>
    <w:rsid w:val="00094086"/>
    <w:rsid w:val="00097EAE"/>
    <w:rsid w:val="00097FB7"/>
    <w:rsid w:val="000A23C6"/>
    <w:rsid w:val="000A28DC"/>
    <w:rsid w:val="000A2A7E"/>
    <w:rsid w:val="000A55B7"/>
    <w:rsid w:val="000A5E63"/>
    <w:rsid w:val="000A61BF"/>
    <w:rsid w:val="000A6215"/>
    <w:rsid w:val="000A68A0"/>
    <w:rsid w:val="000A7943"/>
    <w:rsid w:val="000B007C"/>
    <w:rsid w:val="000B0D86"/>
    <w:rsid w:val="000B28D6"/>
    <w:rsid w:val="000B2E3A"/>
    <w:rsid w:val="000B684F"/>
    <w:rsid w:val="000C28CB"/>
    <w:rsid w:val="000C28D6"/>
    <w:rsid w:val="000C2BAC"/>
    <w:rsid w:val="000C394C"/>
    <w:rsid w:val="000C3B79"/>
    <w:rsid w:val="000C482B"/>
    <w:rsid w:val="000C55D6"/>
    <w:rsid w:val="000C738A"/>
    <w:rsid w:val="000C771B"/>
    <w:rsid w:val="000C7987"/>
    <w:rsid w:val="000D066E"/>
    <w:rsid w:val="000D0F8C"/>
    <w:rsid w:val="000D12DB"/>
    <w:rsid w:val="000D1EDC"/>
    <w:rsid w:val="000D2ADA"/>
    <w:rsid w:val="000D3130"/>
    <w:rsid w:val="000D485A"/>
    <w:rsid w:val="000D4E85"/>
    <w:rsid w:val="000D5434"/>
    <w:rsid w:val="000D7A39"/>
    <w:rsid w:val="000E0E7C"/>
    <w:rsid w:val="000E22B5"/>
    <w:rsid w:val="000E293A"/>
    <w:rsid w:val="000E3E3B"/>
    <w:rsid w:val="000E4076"/>
    <w:rsid w:val="000E41E4"/>
    <w:rsid w:val="000E4562"/>
    <w:rsid w:val="000E49E1"/>
    <w:rsid w:val="000E51A9"/>
    <w:rsid w:val="000E5DFD"/>
    <w:rsid w:val="000E6F2B"/>
    <w:rsid w:val="000E6F39"/>
    <w:rsid w:val="000F1A66"/>
    <w:rsid w:val="000F251A"/>
    <w:rsid w:val="000F273D"/>
    <w:rsid w:val="000F298B"/>
    <w:rsid w:val="000F31C8"/>
    <w:rsid w:val="000F35BF"/>
    <w:rsid w:val="000F443C"/>
    <w:rsid w:val="000F4F36"/>
    <w:rsid w:val="000F51F1"/>
    <w:rsid w:val="000F5A22"/>
    <w:rsid w:val="000F6127"/>
    <w:rsid w:val="000F657B"/>
    <w:rsid w:val="000F6C51"/>
    <w:rsid w:val="000F7877"/>
    <w:rsid w:val="000F7C1C"/>
    <w:rsid w:val="00101D97"/>
    <w:rsid w:val="001031DF"/>
    <w:rsid w:val="00104773"/>
    <w:rsid w:val="00104BE2"/>
    <w:rsid w:val="00105178"/>
    <w:rsid w:val="001057A6"/>
    <w:rsid w:val="00105C7B"/>
    <w:rsid w:val="00106833"/>
    <w:rsid w:val="00107BD7"/>
    <w:rsid w:val="00107C73"/>
    <w:rsid w:val="0011018C"/>
    <w:rsid w:val="00110466"/>
    <w:rsid w:val="00110912"/>
    <w:rsid w:val="00111614"/>
    <w:rsid w:val="001117F5"/>
    <w:rsid w:val="001120E0"/>
    <w:rsid w:val="001146C4"/>
    <w:rsid w:val="00114BD6"/>
    <w:rsid w:val="0011507D"/>
    <w:rsid w:val="001151C6"/>
    <w:rsid w:val="0011524A"/>
    <w:rsid w:val="0012356D"/>
    <w:rsid w:val="0012507D"/>
    <w:rsid w:val="0012563D"/>
    <w:rsid w:val="001256F8"/>
    <w:rsid w:val="001258D0"/>
    <w:rsid w:val="00125FBB"/>
    <w:rsid w:val="00126D0F"/>
    <w:rsid w:val="0013040B"/>
    <w:rsid w:val="001305BD"/>
    <w:rsid w:val="00131D0F"/>
    <w:rsid w:val="001320EF"/>
    <w:rsid w:val="00134C52"/>
    <w:rsid w:val="0013749C"/>
    <w:rsid w:val="00137D1C"/>
    <w:rsid w:val="0014400B"/>
    <w:rsid w:val="001444C1"/>
    <w:rsid w:val="001446F4"/>
    <w:rsid w:val="00145A8C"/>
    <w:rsid w:val="00147CE4"/>
    <w:rsid w:val="00150A8F"/>
    <w:rsid w:val="0015108A"/>
    <w:rsid w:val="00151E9E"/>
    <w:rsid w:val="0015391E"/>
    <w:rsid w:val="001541EC"/>
    <w:rsid w:val="001548E1"/>
    <w:rsid w:val="001558EF"/>
    <w:rsid w:val="00156CEC"/>
    <w:rsid w:val="00157721"/>
    <w:rsid w:val="001607EF"/>
    <w:rsid w:val="001617AA"/>
    <w:rsid w:val="00161B98"/>
    <w:rsid w:val="001620BC"/>
    <w:rsid w:val="00162D31"/>
    <w:rsid w:val="00162EC3"/>
    <w:rsid w:val="0016348F"/>
    <w:rsid w:val="001646D6"/>
    <w:rsid w:val="0016523C"/>
    <w:rsid w:val="00165377"/>
    <w:rsid w:val="001653B0"/>
    <w:rsid w:val="001657DC"/>
    <w:rsid w:val="001675C0"/>
    <w:rsid w:val="00171067"/>
    <w:rsid w:val="001717A7"/>
    <w:rsid w:val="00172A27"/>
    <w:rsid w:val="00173934"/>
    <w:rsid w:val="001739E4"/>
    <w:rsid w:val="001739EE"/>
    <w:rsid w:val="00175711"/>
    <w:rsid w:val="00176E67"/>
    <w:rsid w:val="00177A0D"/>
    <w:rsid w:val="00180CBA"/>
    <w:rsid w:val="001822D8"/>
    <w:rsid w:val="0018264A"/>
    <w:rsid w:val="00182866"/>
    <w:rsid w:val="00182A66"/>
    <w:rsid w:val="001857AF"/>
    <w:rsid w:val="00185B3A"/>
    <w:rsid w:val="00186D72"/>
    <w:rsid w:val="001871AF"/>
    <w:rsid w:val="00190AA3"/>
    <w:rsid w:val="001913D4"/>
    <w:rsid w:val="001924A0"/>
    <w:rsid w:val="00192E38"/>
    <w:rsid w:val="00194EEC"/>
    <w:rsid w:val="001960D1"/>
    <w:rsid w:val="0019648D"/>
    <w:rsid w:val="001964C5"/>
    <w:rsid w:val="001A0CCD"/>
    <w:rsid w:val="001A131C"/>
    <w:rsid w:val="001A18EB"/>
    <w:rsid w:val="001A1FC1"/>
    <w:rsid w:val="001A2938"/>
    <w:rsid w:val="001A3569"/>
    <w:rsid w:val="001A43DF"/>
    <w:rsid w:val="001A46E6"/>
    <w:rsid w:val="001A4744"/>
    <w:rsid w:val="001A5014"/>
    <w:rsid w:val="001A69C3"/>
    <w:rsid w:val="001A7812"/>
    <w:rsid w:val="001A7970"/>
    <w:rsid w:val="001B051D"/>
    <w:rsid w:val="001B25BD"/>
    <w:rsid w:val="001B25DC"/>
    <w:rsid w:val="001B3725"/>
    <w:rsid w:val="001B48D9"/>
    <w:rsid w:val="001B5531"/>
    <w:rsid w:val="001B7040"/>
    <w:rsid w:val="001B74C3"/>
    <w:rsid w:val="001C0538"/>
    <w:rsid w:val="001C0FA6"/>
    <w:rsid w:val="001C1C0F"/>
    <w:rsid w:val="001C1F78"/>
    <w:rsid w:val="001C2411"/>
    <w:rsid w:val="001C4C78"/>
    <w:rsid w:val="001C5E3B"/>
    <w:rsid w:val="001C7231"/>
    <w:rsid w:val="001D40C0"/>
    <w:rsid w:val="001D5134"/>
    <w:rsid w:val="001D5667"/>
    <w:rsid w:val="001D57AE"/>
    <w:rsid w:val="001D6B01"/>
    <w:rsid w:val="001D6EF0"/>
    <w:rsid w:val="001E0D65"/>
    <w:rsid w:val="001E2A40"/>
    <w:rsid w:val="001E79B3"/>
    <w:rsid w:val="001F0A51"/>
    <w:rsid w:val="001F0F31"/>
    <w:rsid w:val="001F19A6"/>
    <w:rsid w:val="001F19B2"/>
    <w:rsid w:val="001F2711"/>
    <w:rsid w:val="001F39E0"/>
    <w:rsid w:val="001F4160"/>
    <w:rsid w:val="001F42EE"/>
    <w:rsid w:val="001F430D"/>
    <w:rsid w:val="001F5044"/>
    <w:rsid w:val="001F660D"/>
    <w:rsid w:val="001F6C05"/>
    <w:rsid w:val="001F78ED"/>
    <w:rsid w:val="001F7EDD"/>
    <w:rsid w:val="00201E34"/>
    <w:rsid w:val="00202EF8"/>
    <w:rsid w:val="00204E6A"/>
    <w:rsid w:val="00204FDB"/>
    <w:rsid w:val="002061EB"/>
    <w:rsid w:val="00206CE4"/>
    <w:rsid w:val="00206CE5"/>
    <w:rsid w:val="00210F79"/>
    <w:rsid w:val="00211CD4"/>
    <w:rsid w:val="00211E9F"/>
    <w:rsid w:val="0021247A"/>
    <w:rsid w:val="00212486"/>
    <w:rsid w:val="002130DE"/>
    <w:rsid w:val="00213BCF"/>
    <w:rsid w:val="00213FDC"/>
    <w:rsid w:val="002157F0"/>
    <w:rsid w:val="00215AF9"/>
    <w:rsid w:val="00215D7B"/>
    <w:rsid w:val="00215F72"/>
    <w:rsid w:val="00216BB3"/>
    <w:rsid w:val="00223512"/>
    <w:rsid w:val="002237A7"/>
    <w:rsid w:val="00224499"/>
    <w:rsid w:val="00225F0A"/>
    <w:rsid w:val="0022633D"/>
    <w:rsid w:val="0022683D"/>
    <w:rsid w:val="00227A6C"/>
    <w:rsid w:val="00227D06"/>
    <w:rsid w:val="00227E3A"/>
    <w:rsid w:val="002306E1"/>
    <w:rsid w:val="00230C54"/>
    <w:rsid w:val="00231047"/>
    <w:rsid w:val="002314D5"/>
    <w:rsid w:val="00233FC7"/>
    <w:rsid w:val="0023425C"/>
    <w:rsid w:val="00234962"/>
    <w:rsid w:val="002350CF"/>
    <w:rsid w:val="00236367"/>
    <w:rsid w:val="002414E8"/>
    <w:rsid w:val="00242BC4"/>
    <w:rsid w:val="00244A28"/>
    <w:rsid w:val="00245F98"/>
    <w:rsid w:val="002467FB"/>
    <w:rsid w:val="00246AA5"/>
    <w:rsid w:val="00246E6C"/>
    <w:rsid w:val="00247D18"/>
    <w:rsid w:val="002506F1"/>
    <w:rsid w:val="00251DF5"/>
    <w:rsid w:val="00253E07"/>
    <w:rsid w:val="00254D48"/>
    <w:rsid w:val="002552FE"/>
    <w:rsid w:val="00256EA2"/>
    <w:rsid w:val="00260A49"/>
    <w:rsid w:val="00261ED1"/>
    <w:rsid w:val="00262F02"/>
    <w:rsid w:val="00263CFB"/>
    <w:rsid w:val="00264CE4"/>
    <w:rsid w:val="00266811"/>
    <w:rsid w:val="002671B8"/>
    <w:rsid w:val="00270574"/>
    <w:rsid w:val="00270AD7"/>
    <w:rsid w:val="0027194A"/>
    <w:rsid w:val="00273456"/>
    <w:rsid w:val="00274859"/>
    <w:rsid w:val="00274E4F"/>
    <w:rsid w:val="0027592C"/>
    <w:rsid w:val="00275958"/>
    <w:rsid w:val="00276026"/>
    <w:rsid w:val="002764F7"/>
    <w:rsid w:val="00277E83"/>
    <w:rsid w:val="00280358"/>
    <w:rsid w:val="002806B4"/>
    <w:rsid w:val="002811A4"/>
    <w:rsid w:val="00281587"/>
    <w:rsid w:val="002824FF"/>
    <w:rsid w:val="002826A6"/>
    <w:rsid w:val="00283582"/>
    <w:rsid w:val="002837AE"/>
    <w:rsid w:val="002839FE"/>
    <w:rsid w:val="00283D0C"/>
    <w:rsid w:val="00285DE1"/>
    <w:rsid w:val="0028618E"/>
    <w:rsid w:val="00286196"/>
    <w:rsid w:val="00286B0C"/>
    <w:rsid w:val="00287AD2"/>
    <w:rsid w:val="00291068"/>
    <w:rsid w:val="0029136B"/>
    <w:rsid w:val="0029288C"/>
    <w:rsid w:val="00292E00"/>
    <w:rsid w:val="002932DA"/>
    <w:rsid w:val="00294EE9"/>
    <w:rsid w:val="00295A84"/>
    <w:rsid w:val="00297FA6"/>
    <w:rsid w:val="002A022B"/>
    <w:rsid w:val="002A0633"/>
    <w:rsid w:val="002A2812"/>
    <w:rsid w:val="002A2FD9"/>
    <w:rsid w:val="002A5266"/>
    <w:rsid w:val="002A620C"/>
    <w:rsid w:val="002A6DF3"/>
    <w:rsid w:val="002A6F7F"/>
    <w:rsid w:val="002B026F"/>
    <w:rsid w:val="002B26A9"/>
    <w:rsid w:val="002B2FC3"/>
    <w:rsid w:val="002B50E8"/>
    <w:rsid w:val="002B612F"/>
    <w:rsid w:val="002C25B0"/>
    <w:rsid w:val="002C2C6C"/>
    <w:rsid w:val="002C7114"/>
    <w:rsid w:val="002C7692"/>
    <w:rsid w:val="002C76C1"/>
    <w:rsid w:val="002C779D"/>
    <w:rsid w:val="002C7BAC"/>
    <w:rsid w:val="002D0241"/>
    <w:rsid w:val="002D0655"/>
    <w:rsid w:val="002D1D41"/>
    <w:rsid w:val="002D2A24"/>
    <w:rsid w:val="002D2B69"/>
    <w:rsid w:val="002D2F66"/>
    <w:rsid w:val="002D2F92"/>
    <w:rsid w:val="002D4289"/>
    <w:rsid w:val="002D4F74"/>
    <w:rsid w:val="002D6DF7"/>
    <w:rsid w:val="002D77C3"/>
    <w:rsid w:val="002D7E74"/>
    <w:rsid w:val="002E076D"/>
    <w:rsid w:val="002E07F1"/>
    <w:rsid w:val="002E0D64"/>
    <w:rsid w:val="002E28CA"/>
    <w:rsid w:val="002E2CBA"/>
    <w:rsid w:val="002E2FC0"/>
    <w:rsid w:val="002E50BC"/>
    <w:rsid w:val="002E6662"/>
    <w:rsid w:val="002E6D9C"/>
    <w:rsid w:val="002E7D05"/>
    <w:rsid w:val="002E7D4B"/>
    <w:rsid w:val="002F04DC"/>
    <w:rsid w:val="002F0842"/>
    <w:rsid w:val="002F0C3B"/>
    <w:rsid w:val="002F26B4"/>
    <w:rsid w:val="002F28BF"/>
    <w:rsid w:val="002F3442"/>
    <w:rsid w:val="002F39D0"/>
    <w:rsid w:val="002F3F15"/>
    <w:rsid w:val="002F4C94"/>
    <w:rsid w:val="002F579D"/>
    <w:rsid w:val="002F65AB"/>
    <w:rsid w:val="002F7248"/>
    <w:rsid w:val="002F7DCC"/>
    <w:rsid w:val="00300CBE"/>
    <w:rsid w:val="003045F3"/>
    <w:rsid w:val="00304BE0"/>
    <w:rsid w:val="00306060"/>
    <w:rsid w:val="0030613D"/>
    <w:rsid w:val="00306DBA"/>
    <w:rsid w:val="00306EAF"/>
    <w:rsid w:val="003075F0"/>
    <w:rsid w:val="003079B8"/>
    <w:rsid w:val="003104F2"/>
    <w:rsid w:val="00312389"/>
    <w:rsid w:val="00312A76"/>
    <w:rsid w:val="00313BE8"/>
    <w:rsid w:val="00313FBB"/>
    <w:rsid w:val="003143C7"/>
    <w:rsid w:val="00314AD9"/>
    <w:rsid w:val="003164D5"/>
    <w:rsid w:val="00317518"/>
    <w:rsid w:val="003179DE"/>
    <w:rsid w:val="00317B6F"/>
    <w:rsid w:val="0032161A"/>
    <w:rsid w:val="00321649"/>
    <w:rsid w:val="00321A4D"/>
    <w:rsid w:val="0032239B"/>
    <w:rsid w:val="003234E7"/>
    <w:rsid w:val="00323711"/>
    <w:rsid w:val="00325443"/>
    <w:rsid w:val="00325601"/>
    <w:rsid w:val="00327DCE"/>
    <w:rsid w:val="00330787"/>
    <w:rsid w:val="003327A8"/>
    <w:rsid w:val="00333276"/>
    <w:rsid w:val="0033490D"/>
    <w:rsid w:val="00334B74"/>
    <w:rsid w:val="003365A7"/>
    <w:rsid w:val="003410EC"/>
    <w:rsid w:val="003414FE"/>
    <w:rsid w:val="00341859"/>
    <w:rsid w:val="00341F93"/>
    <w:rsid w:val="00343476"/>
    <w:rsid w:val="00345832"/>
    <w:rsid w:val="003468D6"/>
    <w:rsid w:val="00347255"/>
    <w:rsid w:val="00351A3F"/>
    <w:rsid w:val="00351E58"/>
    <w:rsid w:val="0035200B"/>
    <w:rsid w:val="00352062"/>
    <w:rsid w:val="00352E34"/>
    <w:rsid w:val="003552B8"/>
    <w:rsid w:val="00355F4E"/>
    <w:rsid w:val="00356D37"/>
    <w:rsid w:val="00361AE9"/>
    <w:rsid w:val="00362920"/>
    <w:rsid w:val="00362A8F"/>
    <w:rsid w:val="003638E9"/>
    <w:rsid w:val="00363A67"/>
    <w:rsid w:val="00367EE7"/>
    <w:rsid w:val="00370016"/>
    <w:rsid w:val="0037085A"/>
    <w:rsid w:val="00371783"/>
    <w:rsid w:val="00371E18"/>
    <w:rsid w:val="00373246"/>
    <w:rsid w:val="00375001"/>
    <w:rsid w:val="00376356"/>
    <w:rsid w:val="00376489"/>
    <w:rsid w:val="00381DAC"/>
    <w:rsid w:val="0038297F"/>
    <w:rsid w:val="00382A11"/>
    <w:rsid w:val="00382DEE"/>
    <w:rsid w:val="00383BA8"/>
    <w:rsid w:val="0038567A"/>
    <w:rsid w:val="00385DAE"/>
    <w:rsid w:val="00385E2A"/>
    <w:rsid w:val="00386868"/>
    <w:rsid w:val="00387966"/>
    <w:rsid w:val="00387CE3"/>
    <w:rsid w:val="003909CE"/>
    <w:rsid w:val="00391763"/>
    <w:rsid w:val="00393384"/>
    <w:rsid w:val="0039351A"/>
    <w:rsid w:val="0039366D"/>
    <w:rsid w:val="00393F5E"/>
    <w:rsid w:val="003962E9"/>
    <w:rsid w:val="003963FE"/>
    <w:rsid w:val="003968BF"/>
    <w:rsid w:val="00397BD3"/>
    <w:rsid w:val="003A16B7"/>
    <w:rsid w:val="003A27C6"/>
    <w:rsid w:val="003A2C0B"/>
    <w:rsid w:val="003A3536"/>
    <w:rsid w:val="003A39C1"/>
    <w:rsid w:val="003A457D"/>
    <w:rsid w:val="003A4E30"/>
    <w:rsid w:val="003B0364"/>
    <w:rsid w:val="003B0619"/>
    <w:rsid w:val="003B13E1"/>
    <w:rsid w:val="003B1783"/>
    <w:rsid w:val="003B1F5F"/>
    <w:rsid w:val="003B2728"/>
    <w:rsid w:val="003B2F13"/>
    <w:rsid w:val="003B35A8"/>
    <w:rsid w:val="003B3FBD"/>
    <w:rsid w:val="003B4938"/>
    <w:rsid w:val="003B6C68"/>
    <w:rsid w:val="003C013A"/>
    <w:rsid w:val="003C0746"/>
    <w:rsid w:val="003C0F0B"/>
    <w:rsid w:val="003C121F"/>
    <w:rsid w:val="003C29B8"/>
    <w:rsid w:val="003C421C"/>
    <w:rsid w:val="003C43B1"/>
    <w:rsid w:val="003C4BF3"/>
    <w:rsid w:val="003C587F"/>
    <w:rsid w:val="003C64A6"/>
    <w:rsid w:val="003C6B1A"/>
    <w:rsid w:val="003C7A72"/>
    <w:rsid w:val="003D19D6"/>
    <w:rsid w:val="003D2B38"/>
    <w:rsid w:val="003D2D78"/>
    <w:rsid w:val="003D356C"/>
    <w:rsid w:val="003D42A5"/>
    <w:rsid w:val="003D52EF"/>
    <w:rsid w:val="003D5875"/>
    <w:rsid w:val="003D7499"/>
    <w:rsid w:val="003D760E"/>
    <w:rsid w:val="003E0CFE"/>
    <w:rsid w:val="003E24A5"/>
    <w:rsid w:val="003E3E52"/>
    <w:rsid w:val="003E4735"/>
    <w:rsid w:val="003E4F38"/>
    <w:rsid w:val="003E61B7"/>
    <w:rsid w:val="003E66CD"/>
    <w:rsid w:val="003E7A24"/>
    <w:rsid w:val="003F0BDD"/>
    <w:rsid w:val="003F16D8"/>
    <w:rsid w:val="003F1831"/>
    <w:rsid w:val="003F1A0E"/>
    <w:rsid w:val="003F413E"/>
    <w:rsid w:val="003F4C4B"/>
    <w:rsid w:val="003F5914"/>
    <w:rsid w:val="003F657B"/>
    <w:rsid w:val="003F6BE5"/>
    <w:rsid w:val="003F7EB5"/>
    <w:rsid w:val="00401447"/>
    <w:rsid w:val="004028C2"/>
    <w:rsid w:val="00403768"/>
    <w:rsid w:val="00403F0F"/>
    <w:rsid w:val="0040416A"/>
    <w:rsid w:val="00406341"/>
    <w:rsid w:val="0040645F"/>
    <w:rsid w:val="00406A7E"/>
    <w:rsid w:val="00406DA7"/>
    <w:rsid w:val="00407495"/>
    <w:rsid w:val="004079E5"/>
    <w:rsid w:val="0041045D"/>
    <w:rsid w:val="004107E5"/>
    <w:rsid w:val="00412AA8"/>
    <w:rsid w:val="00413E38"/>
    <w:rsid w:val="004152F1"/>
    <w:rsid w:val="004172A7"/>
    <w:rsid w:val="00417B70"/>
    <w:rsid w:val="00417CE2"/>
    <w:rsid w:val="00421A6D"/>
    <w:rsid w:val="00421E70"/>
    <w:rsid w:val="00422F10"/>
    <w:rsid w:val="004238BA"/>
    <w:rsid w:val="004246D5"/>
    <w:rsid w:val="00425783"/>
    <w:rsid w:val="004261FD"/>
    <w:rsid w:val="00427F1A"/>
    <w:rsid w:val="00431409"/>
    <w:rsid w:val="0043171A"/>
    <w:rsid w:val="00432997"/>
    <w:rsid w:val="004336D1"/>
    <w:rsid w:val="004336DC"/>
    <w:rsid w:val="00436912"/>
    <w:rsid w:val="00437CA1"/>
    <w:rsid w:val="00437EEF"/>
    <w:rsid w:val="0044122B"/>
    <w:rsid w:val="00441D98"/>
    <w:rsid w:val="00442DE7"/>
    <w:rsid w:val="00444772"/>
    <w:rsid w:val="004449E5"/>
    <w:rsid w:val="00444C61"/>
    <w:rsid w:val="00445131"/>
    <w:rsid w:val="00445728"/>
    <w:rsid w:val="0044625F"/>
    <w:rsid w:val="00446770"/>
    <w:rsid w:val="00446A3D"/>
    <w:rsid w:val="00446C77"/>
    <w:rsid w:val="00447B5A"/>
    <w:rsid w:val="00451C94"/>
    <w:rsid w:val="00451FB3"/>
    <w:rsid w:val="00452F3A"/>
    <w:rsid w:val="00456354"/>
    <w:rsid w:val="0045640F"/>
    <w:rsid w:val="00456877"/>
    <w:rsid w:val="00457652"/>
    <w:rsid w:val="0045780E"/>
    <w:rsid w:val="00460220"/>
    <w:rsid w:val="0046036B"/>
    <w:rsid w:val="004627B3"/>
    <w:rsid w:val="004629B2"/>
    <w:rsid w:val="0046347D"/>
    <w:rsid w:val="004656E6"/>
    <w:rsid w:val="00465860"/>
    <w:rsid w:val="00465C55"/>
    <w:rsid w:val="004661EE"/>
    <w:rsid w:val="00470238"/>
    <w:rsid w:val="00470DED"/>
    <w:rsid w:val="0047165E"/>
    <w:rsid w:val="0047491F"/>
    <w:rsid w:val="004760CC"/>
    <w:rsid w:val="004773C4"/>
    <w:rsid w:val="00477E2F"/>
    <w:rsid w:val="004818E5"/>
    <w:rsid w:val="00481B83"/>
    <w:rsid w:val="00481D89"/>
    <w:rsid w:val="004821DA"/>
    <w:rsid w:val="004833CD"/>
    <w:rsid w:val="00483765"/>
    <w:rsid w:val="00484F18"/>
    <w:rsid w:val="00487875"/>
    <w:rsid w:val="004900B7"/>
    <w:rsid w:val="004907F4"/>
    <w:rsid w:val="00490909"/>
    <w:rsid w:val="00490DCF"/>
    <w:rsid w:val="00491BFD"/>
    <w:rsid w:val="0049260B"/>
    <w:rsid w:val="00492E6A"/>
    <w:rsid w:val="004932A6"/>
    <w:rsid w:val="004938A7"/>
    <w:rsid w:val="00493987"/>
    <w:rsid w:val="00493E7B"/>
    <w:rsid w:val="0049466D"/>
    <w:rsid w:val="004946FE"/>
    <w:rsid w:val="00494AD6"/>
    <w:rsid w:val="00495FF7"/>
    <w:rsid w:val="00496B9F"/>
    <w:rsid w:val="0049795C"/>
    <w:rsid w:val="004A1771"/>
    <w:rsid w:val="004A2124"/>
    <w:rsid w:val="004A27A1"/>
    <w:rsid w:val="004A2CCF"/>
    <w:rsid w:val="004A4711"/>
    <w:rsid w:val="004A5E7D"/>
    <w:rsid w:val="004A61E8"/>
    <w:rsid w:val="004A6881"/>
    <w:rsid w:val="004B0A1C"/>
    <w:rsid w:val="004B0AF1"/>
    <w:rsid w:val="004B0DDF"/>
    <w:rsid w:val="004B222B"/>
    <w:rsid w:val="004B2EA1"/>
    <w:rsid w:val="004B33B4"/>
    <w:rsid w:val="004B3678"/>
    <w:rsid w:val="004B41C1"/>
    <w:rsid w:val="004B4633"/>
    <w:rsid w:val="004B4AED"/>
    <w:rsid w:val="004B4C61"/>
    <w:rsid w:val="004B5E51"/>
    <w:rsid w:val="004B72E5"/>
    <w:rsid w:val="004B7839"/>
    <w:rsid w:val="004C1B16"/>
    <w:rsid w:val="004C2018"/>
    <w:rsid w:val="004C5B4A"/>
    <w:rsid w:val="004C60A8"/>
    <w:rsid w:val="004C60E4"/>
    <w:rsid w:val="004C77D1"/>
    <w:rsid w:val="004C7A52"/>
    <w:rsid w:val="004D055A"/>
    <w:rsid w:val="004D1027"/>
    <w:rsid w:val="004D1BB1"/>
    <w:rsid w:val="004D579C"/>
    <w:rsid w:val="004D58CC"/>
    <w:rsid w:val="004D7BDB"/>
    <w:rsid w:val="004E0317"/>
    <w:rsid w:val="004E0578"/>
    <w:rsid w:val="004E0C37"/>
    <w:rsid w:val="004E0D51"/>
    <w:rsid w:val="004E0D97"/>
    <w:rsid w:val="004E1751"/>
    <w:rsid w:val="004E1C08"/>
    <w:rsid w:val="004E1CDA"/>
    <w:rsid w:val="004E2265"/>
    <w:rsid w:val="004E26BB"/>
    <w:rsid w:val="004E6AB5"/>
    <w:rsid w:val="004E6D9B"/>
    <w:rsid w:val="004E71AA"/>
    <w:rsid w:val="004F02DB"/>
    <w:rsid w:val="004F043D"/>
    <w:rsid w:val="004F1384"/>
    <w:rsid w:val="004F3AB1"/>
    <w:rsid w:val="004F4434"/>
    <w:rsid w:val="004F48B7"/>
    <w:rsid w:val="004F5097"/>
    <w:rsid w:val="004F564D"/>
    <w:rsid w:val="004F59A1"/>
    <w:rsid w:val="004F59F3"/>
    <w:rsid w:val="004F7963"/>
    <w:rsid w:val="00500311"/>
    <w:rsid w:val="00503075"/>
    <w:rsid w:val="00503B62"/>
    <w:rsid w:val="00503EFB"/>
    <w:rsid w:val="00503F81"/>
    <w:rsid w:val="005042EE"/>
    <w:rsid w:val="00504DC3"/>
    <w:rsid w:val="00505833"/>
    <w:rsid w:val="005063F2"/>
    <w:rsid w:val="00506FB6"/>
    <w:rsid w:val="0050757C"/>
    <w:rsid w:val="0050771E"/>
    <w:rsid w:val="00512B78"/>
    <w:rsid w:val="00513AEE"/>
    <w:rsid w:val="00516BC9"/>
    <w:rsid w:val="00517148"/>
    <w:rsid w:val="0051719B"/>
    <w:rsid w:val="00520275"/>
    <w:rsid w:val="005214B2"/>
    <w:rsid w:val="00523042"/>
    <w:rsid w:val="00524D51"/>
    <w:rsid w:val="00525351"/>
    <w:rsid w:val="0052580A"/>
    <w:rsid w:val="0052588B"/>
    <w:rsid w:val="00525CFF"/>
    <w:rsid w:val="00525EBF"/>
    <w:rsid w:val="0053188E"/>
    <w:rsid w:val="00531D49"/>
    <w:rsid w:val="0053551C"/>
    <w:rsid w:val="00537226"/>
    <w:rsid w:val="005405AA"/>
    <w:rsid w:val="00540842"/>
    <w:rsid w:val="00540DE4"/>
    <w:rsid w:val="00543D77"/>
    <w:rsid w:val="005440C0"/>
    <w:rsid w:val="005449D7"/>
    <w:rsid w:val="00544BE1"/>
    <w:rsid w:val="00546241"/>
    <w:rsid w:val="00546480"/>
    <w:rsid w:val="00546591"/>
    <w:rsid w:val="005476B0"/>
    <w:rsid w:val="00547701"/>
    <w:rsid w:val="0055139B"/>
    <w:rsid w:val="00551DF6"/>
    <w:rsid w:val="005524A8"/>
    <w:rsid w:val="00553E50"/>
    <w:rsid w:val="005546C6"/>
    <w:rsid w:val="00556019"/>
    <w:rsid w:val="00556E26"/>
    <w:rsid w:val="005570CA"/>
    <w:rsid w:val="0056034D"/>
    <w:rsid w:val="005608E5"/>
    <w:rsid w:val="00560A91"/>
    <w:rsid w:val="00563A1D"/>
    <w:rsid w:val="00563CC0"/>
    <w:rsid w:val="00564CED"/>
    <w:rsid w:val="005654F7"/>
    <w:rsid w:val="0056574F"/>
    <w:rsid w:val="005669C5"/>
    <w:rsid w:val="00566F32"/>
    <w:rsid w:val="0056706A"/>
    <w:rsid w:val="00567695"/>
    <w:rsid w:val="0057021E"/>
    <w:rsid w:val="005725C7"/>
    <w:rsid w:val="00572D0D"/>
    <w:rsid w:val="00573F90"/>
    <w:rsid w:val="00575030"/>
    <w:rsid w:val="00575B21"/>
    <w:rsid w:val="005768E7"/>
    <w:rsid w:val="005774E7"/>
    <w:rsid w:val="00577E84"/>
    <w:rsid w:val="0058226E"/>
    <w:rsid w:val="0058232A"/>
    <w:rsid w:val="00582971"/>
    <w:rsid w:val="005834F6"/>
    <w:rsid w:val="00583739"/>
    <w:rsid w:val="00584A49"/>
    <w:rsid w:val="0058607C"/>
    <w:rsid w:val="00591738"/>
    <w:rsid w:val="005920E0"/>
    <w:rsid w:val="00593520"/>
    <w:rsid w:val="005963B3"/>
    <w:rsid w:val="00596D05"/>
    <w:rsid w:val="00596EDB"/>
    <w:rsid w:val="005976A6"/>
    <w:rsid w:val="00597EA7"/>
    <w:rsid w:val="00597FE8"/>
    <w:rsid w:val="005A2C1E"/>
    <w:rsid w:val="005A3454"/>
    <w:rsid w:val="005A4F42"/>
    <w:rsid w:val="005A5046"/>
    <w:rsid w:val="005A69CB"/>
    <w:rsid w:val="005A738A"/>
    <w:rsid w:val="005A7E06"/>
    <w:rsid w:val="005B2058"/>
    <w:rsid w:val="005B2884"/>
    <w:rsid w:val="005B28C7"/>
    <w:rsid w:val="005B2CDE"/>
    <w:rsid w:val="005B2E91"/>
    <w:rsid w:val="005B30FB"/>
    <w:rsid w:val="005B334A"/>
    <w:rsid w:val="005B3DB3"/>
    <w:rsid w:val="005B3F37"/>
    <w:rsid w:val="005B4905"/>
    <w:rsid w:val="005B496C"/>
    <w:rsid w:val="005B5E71"/>
    <w:rsid w:val="005C0EDC"/>
    <w:rsid w:val="005C1597"/>
    <w:rsid w:val="005C2B49"/>
    <w:rsid w:val="005C352C"/>
    <w:rsid w:val="005C3DE2"/>
    <w:rsid w:val="005C47F3"/>
    <w:rsid w:val="005C5207"/>
    <w:rsid w:val="005C7771"/>
    <w:rsid w:val="005C7BA7"/>
    <w:rsid w:val="005D0652"/>
    <w:rsid w:val="005D1709"/>
    <w:rsid w:val="005D322E"/>
    <w:rsid w:val="005D3299"/>
    <w:rsid w:val="005D42A2"/>
    <w:rsid w:val="005D5C3D"/>
    <w:rsid w:val="005D5D19"/>
    <w:rsid w:val="005D65B5"/>
    <w:rsid w:val="005D6FB9"/>
    <w:rsid w:val="005E1F31"/>
    <w:rsid w:val="005E3349"/>
    <w:rsid w:val="005E4EBD"/>
    <w:rsid w:val="005E630F"/>
    <w:rsid w:val="005E6F9C"/>
    <w:rsid w:val="005E70BD"/>
    <w:rsid w:val="005E7CED"/>
    <w:rsid w:val="005F03D5"/>
    <w:rsid w:val="005F04CB"/>
    <w:rsid w:val="005F0C3C"/>
    <w:rsid w:val="005F13E1"/>
    <w:rsid w:val="005F2303"/>
    <w:rsid w:val="005F274B"/>
    <w:rsid w:val="005F386B"/>
    <w:rsid w:val="005F4781"/>
    <w:rsid w:val="005F5F15"/>
    <w:rsid w:val="005F6020"/>
    <w:rsid w:val="005F75B6"/>
    <w:rsid w:val="005F76FC"/>
    <w:rsid w:val="005F7CC2"/>
    <w:rsid w:val="0060157D"/>
    <w:rsid w:val="0060353C"/>
    <w:rsid w:val="00603BBC"/>
    <w:rsid w:val="00605E2C"/>
    <w:rsid w:val="006064A3"/>
    <w:rsid w:val="00607C6B"/>
    <w:rsid w:val="00611296"/>
    <w:rsid w:val="0061170B"/>
    <w:rsid w:val="006129CD"/>
    <w:rsid w:val="00612DDF"/>
    <w:rsid w:val="006132F4"/>
    <w:rsid w:val="006146D6"/>
    <w:rsid w:val="006160E6"/>
    <w:rsid w:val="0061717A"/>
    <w:rsid w:val="006176CA"/>
    <w:rsid w:val="00617AB3"/>
    <w:rsid w:val="0062401C"/>
    <w:rsid w:val="00624E1C"/>
    <w:rsid w:val="00625D8A"/>
    <w:rsid w:val="0062629E"/>
    <w:rsid w:val="0062716C"/>
    <w:rsid w:val="00630B3F"/>
    <w:rsid w:val="00631430"/>
    <w:rsid w:val="00631830"/>
    <w:rsid w:val="006318FE"/>
    <w:rsid w:val="00633731"/>
    <w:rsid w:val="006337D8"/>
    <w:rsid w:val="006355C0"/>
    <w:rsid w:val="00635C7C"/>
    <w:rsid w:val="00635F94"/>
    <w:rsid w:val="00637801"/>
    <w:rsid w:val="00641709"/>
    <w:rsid w:val="00641C43"/>
    <w:rsid w:val="00641D5D"/>
    <w:rsid w:val="006423DB"/>
    <w:rsid w:val="00645922"/>
    <w:rsid w:val="00645EBA"/>
    <w:rsid w:val="00645F5B"/>
    <w:rsid w:val="0064701B"/>
    <w:rsid w:val="0064776B"/>
    <w:rsid w:val="00647A05"/>
    <w:rsid w:val="00647E95"/>
    <w:rsid w:val="0065126D"/>
    <w:rsid w:val="00651857"/>
    <w:rsid w:val="00651B35"/>
    <w:rsid w:val="00652227"/>
    <w:rsid w:val="00652298"/>
    <w:rsid w:val="00655B37"/>
    <w:rsid w:val="006565B5"/>
    <w:rsid w:val="00656CF5"/>
    <w:rsid w:val="00660783"/>
    <w:rsid w:val="006611BE"/>
    <w:rsid w:val="00662769"/>
    <w:rsid w:val="0066668D"/>
    <w:rsid w:val="0066737B"/>
    <w:rsid w:val="00670A36"/>
    <w:rsid w:val="00671F4D"/>
    <w:rsid w:val="0067227C"/>
    <w:rsid w:val="006723AD"/>
    <w:rsid w:val="006724E4"/>
    <w:rsid w:val="00675671"/>
    <w:rsid w:val="006772C3"/>
    <w:rsid w:val="00680C1F"/>
    <w:rsid w:val="00680FE7"/>
    <w:rsid w:val="00683007"/>
    <w:rsid w:val="0068339E"/>
    <w:rsid w:val="006845A6"/>
    <w:rsid w:val="00685BFC"/>
    <w:rsid w:val="006871EE"/>
    <w:rsid w:val="00687675"/>
    <w:rsid w:val="006900BD"/>
    <w:rsid w:val="00691A38"/>
    <w:rsid w:val="006925BC"/>
    <w:rsid w:val="00692CF8"/>
    <w:rsid w:val="006933B4"/>
    <w:rsid w:val="00695713"/>
    <w:rsid w:val="006967ED"/>
    <w:rsid w:val="006967EF"/>
    <w:rsid w:val="006A02E9"/>
    <w:rsid w:val="006A075A"/>
    <w:rsid w:val="006A1776"/>
    <w:rsid w:val="006A328D"/>
    <w:rsid w:val="006A347E"/>
    <w:rsid w:val="006A3EB4"/>
    <w:rsid w:val="006A3FA8"/>
    <w:rsid w:val="006A44A4"/>
    <w:rsid w:val="006A5BEA"/>
    <w:rsid w:val="006A6EA9"/>
    <w:rsid w:val="006B1EB0"/>
    <w:rsid w:val="006B542C"/>
    <w:rsid w:val="006B5532"/>
    <w:rsid w:val="006B6D6B"/>
    <w:rsid w:val="006B728D"/>
    <w:rsid w:val="006B7367"/>
    <w:rsid w:val="006C03E6"/>
    <w:rsid w:val="006C104E"/>
    <w:rsid w:val="006C1115"/>
    <w:rsid w:val="006C1137"/>
    <w:rsid w:val="006C1D32"/>
    <w:rsid w:val="006C221A"/>
    <w:rsid w:val="006C4900"/>
    <w:rsid w:val="006C4B11"/>
    <w:rsid w:val="006C4B31"/>
    <w:rsid w:val="006C6C05"/>
    <w:rsid w:val="006C6CDF"/>
    <w:rsid w:val="006D05F2"/>
    <w:rsid w:val="006D1808"/>
    <w:rsid w:val="006D19C1"/>
    <w:rsid w:val="006D357E"/>
    <w:rsid w:val="006D3AC7"/>
    <w:rsid w:val="006D4530"/>
    <w:rsid w:val="006D4CFF"/>
    <w:rsid w:val="006D5395"/>
    <w:rsid w:val="006D54AF"/>
    <w:rsid w:val="006D681C"/>
    <w:rsid w:val="006D73E5"/>
    <w:rsid w:val="006D7F41"/>
    <w:rsid w:val="006E01BE"/>
    <w:rsid w:val="006E0536"/>
    <w:rsid w:val="006E07E6"/>
    <w:rsid w:val="006E15D4"/>
    <w:rsid w:val="006E23A0"/>
    <w:rsid w:val="006E49C1"/>
    <w:rsid w:val="006E53AA"/>
    <w:rsid w:val="006E7D84"/>
    <w:rsid w:val="006F1FEF"/>
    <w:rsid w:val="006F2372"/>
    <w:rsid w:val="006F367B"/>
    <w:rsid w:val="006F654F"/>
    <w:rsid w:val="006F7447"/>
    <w:rsid w:val="0070079D"/>
    <w:rsid w:val="00701157"/>
    <w:rsid w:val="00701221"/>
    <w:rsid w:val="0070129D"/>
    <w:rsid w:val="00702524"/>
    <w:rsid w:val="00703F1D"/>
    <w:rsid w:val="007046F7"/>
    <w:rsid w:val="007048B2"/>
    <w:rsid w:val="00704BF5"/>
    <w:rsid w:val="007052AB"/>
    <w:rsid w:val="00706726"/>
    <w:rsid w:val="007067EE"/>
    <w:rsid w:val="00706AF4"/>
    <w:rsid w:val="00706C8F"/>
    <w:rsid w:val="00707E45"/>
    <w:rsid w:val="00712CB4"/>
    <w:rsid w:val="00713895"/>
    <w:rsid w:val="007141DA"/>
    <w:rsid w:val="00715E74"/>
    <w:rsid w:val="00715EA4"/>
    <w:rsid w:val="007210B4"/>
    <w:rsid w:val="00723569"/>
    <w:rsid w:val="0072435C"/>
    <w:rsid w:val="00724C43"/>
    <w:rsid w:val="0072654A"/>
    <w:rsid w:val="00726CE7"/>
    <w:rsid w:val="00727455"/>
    <w:rsid w:val="00730F15"/>
    <w:rsid w:val="0073116D"/>
    <w:rsid w:val="007311AA"/>
    <w:rsid w:val="007339E8"/>
    <w:rsid w:val="007347D1"/>
    <w:rsid w:val="00734C69"/>
    <w:rsid w:val="0073588E"/>
    <w:rsid w:val="0073599C"/>
    <w:rsid w:val="00736352"/>
    <w:rsid w:val="00737485"/>
    <w:rsid w:val="007377E0"/>
    <w:rsid w:val="00740760"/>
    <w:rsid w:val="0074234F"/>
    <w:rsid w:val="00742B25"/>
    <w:rsid w:val="00742B45"/>
    <w:rsid w:val="00742B93"/>
    <w:rsid w:val="0074340D"/>
    <w:rsid w:val="00744538"/>
    <w:rsid w:val="0074461B"/>
    <w:rsid w:val="00745549"/>
    <w:rsid w:val="00746252"/>
    <w:rsid w:val="007467D7"/>
    <w:rsid w:val="00746CE0"/>
    <w:rsid w:val="00747147"/>
    <w:rsid w:val="0075046E"/>
    <w:rsid w:val="007509E9"/>
    <w:rsid w:val="00751CDE"/>
    <w:rsid w:val="00751DB2"/>
    <w:rsid w:val="007534DB"/>
    <w:rsid w:val="007548A8"/>
    <w:rsid w:val="0075662E"/>
    <w:rsid w:val="00756B59"/>
    <w:rsid w:val="00760937"/>
    <w:rsid w:val="007638E9"/>
    <w:rsid w:val="00763C23"/>
    <w:rsid w:val="0076533B"/>
    <w:rsid w:val="00765AB9"/>
    <w:rsid w:val="00765AD9"/>
    <w:rsid w:val="007671CA"/>
    <w:rsid w:val="007674ED"/>
    <w:rsid w:val="007679F6"/>
    <w:rsid w:val="00767B8C"/>
    <w:rsid w:val="00771CEC"/>
    <w:rsid w:val="0077349E"/>
    <w:rsid w:val="0077467A"/>
    <w:rsid w:val="00774931"/>
    <w:rsid w:val="007764AA"/>
    <w:rsid w:val="00777564"/>
    <w:rsid w:val="00777882"/>
    <w:rsid w:val="00781EFB"/>
    <w:rsid w:val="00783A48"/>
    <w:rsid w:val="00784542"/>
    <w:rsid w:val="00785A70"/>
    <w:rsid w:val="007862CB"/>
    <w:rsid w:val="00786485"/>
    <w:rsid w:val="007873D5"/>
    <w:rsid w:val="00787D0F"/>
    <w:rsid w:val="00787F36"/>
    <w:rsid w:val="007900DE"/>
    <w:rsid w:val="0079129D"/>
    <w:rsid w:val="007917DC"/>
    <w:rsid w:val="007927B0"/>
    <w:rsid w:val="00792945"/>
    <w:rsid w:val="0079357E"/>
    <w:rsid w:val="007944B3"/>
    <w:rsid w:val="00794F5F"/>
    <w:rsid w:val="00795CA0"/>
    <w:rsid w:val="007962EF"/>
    <w:rsid w:val="0079715B"/>
    <w:rsid w:val="00797C1D"/>
    <w:rsid w:val="007A0DD0"/>
    <w:rsid w:val="007A3137"/>
    <w:rsid w:val="007A4451"/>
    <w:rsid w:val="007A5E0C"/>
    <w:rsid w:val="007A699F"/>
    <w:rsid w:val="007A7399"/>
    <w:rsid w:val="007B050C"/>
    <w:rsid w:val="007B1303"/>
    <w:rsid w:val="007B15B3"/>
    <w:rsid w:val="007B1C3D"/>
    <w:rsid w:val="007B1F89"/>
    <w:rsid w:val="007B2C3A"/>
    <w:rsid w:val="007B3F03"/>
    <w:rsid w:val="007B3F74"/>
    <w:rsid w:val="007B7044"/>
    <w:rsid w:val="007B75F7"/>
    <w:rsid w:val="007C116C"/>
    <w:rsid w:val="007C1B6E"/>
    <w:rsid w:val="007C34CD"/>
    <w:rsid w:val="007C3778"/>
    <w:rsid w:val="007C53FE"/>
    <w:rsid w:val="007C551C"/>
    <w:rsid w:val="007C5F6E"/>
    <w:rsid w:val="007C65C4"/>
    <w:rsid w:val="007C7914"/>
    <w:rsid w:val="007D02D3"/>
    <w:rsid w:val="007D0369"/>
    <w:rsid w:val="007D2998"/>
    <w:rsid w:val="007D66B1"/>
    <w:rsid w:val="007E084B"/>
    <w:rsid w:val="007E0920"/>
    <w:rsid w:val="007E1ADB"/>
    <w:rsid w:val="007E418F"/>
    <w:rsid w:val="007E443B"/>
    <w:rsid w:val="007E5922"/>
    <w:rsid w:val="007E60CB"/>
    <w:rsid w:val="007E67F3"/>
    <w:rsid w:val="007E7F7E"/>
    <w:rsid w:val="007F04A5"/>
    <w:rsid w:val="007F1116"/>
    <w:rsid w:val="007F2DDF"/>
    <w:rsid w:val="007F32D1"/>
    <w:rsid w:val="007F358E"/>
    <w:rsid w:val="007F4E0B"/>
    <w:rsid w:val="007F667D"/>
    <w:rsid w:val="008003ED"/>
    <w:rsid w:val="00801179"/>
    <w:rsid w:val="00801343"/>
    <w:rsid w:val="008013B6"/>
    <w:rsid w:val="008017ED"/>
    <w:rsid w:val="00801AA1"/>
    <w:rsid w:val="00804F1E"/>
    <w:rsid w:val="00805417"/>
    <w:rsid w:val="00805E13"/>
    <w:rsid w:val="008067B2"/>
    <w:rsid w:val="00810167"/>
    <w:rsid w:val="00810B71"/>
    <w:rsid w:val="00811115"/>
    <w:rsid w:val="00811F2E"/>
    <w:rsid w:val="0081221B"/>
    <w:rsid w:val="008125F4"/>
    <w:rsid w:val="008136DD"/>
    <w:rsid w:val="00813D19"/>
    <w:rsid w:val="008141A8"/>
    <w:rsid w:val="0081496A"/>
    <w:rsid w:val="00814D9A"/>
    <w:rsid w:val="0081564E"/>
    <w:rsid w:val="008157D3"/>
    <w:rsid w:val="00816C6B"/>
    <w:rsid w:val="00817169"/>
    <w:rsid w:val="00820885"/>
    <w:rsid w:val="00821101"/>
    <w:rsid w:val="00821643"/>
    <w:rsid w:val="008222A3"/>
    <w:rsid w:val="00823828"/>
    <w:rsid w:val="00824E31"/>
    <w:rsid w:val="0082516C"/>
    <w:rsid w:val="00826CCB"/>
    <w:rsid w:val="008302D6"/>
    <w:rsid w:val="00831AAE"/>
    <w:rsid w:val="00831DA3"/>
    <w:rsid w:val="00833FDB"/>
    <w:rsid w:val="0083405F"/>
    <w:rsid w:val="00834396"/>
    <w:rsid w:val="0083674E"/>
    <w:rsid w:val="00836E38"/>
    <w:rsid w:val="00837061"/>
    <w:rsid w:val="00837EAF"/>
    <w:rsid w:val="00841606"/>
    <w:rsid w:val="00842C2F"/>
    <w:rsid w:val="00842DB7"/>
    <w:rsid w:val="00843057"/>
    <w:rsid w:val="00844742"/>
    <w:rsid w:val="00844DC3"/>
    <w:rsid w:val="00845887"/>
    <w:rsid w:val="00845B86"/>
    <w:rsid w:val="008473DF"/>
    <w:rsid w:val="00851748"/>
    <w:rsid w:val="008524AF"/>
    <w:rsid w:val="008529AD"/>
    <w:rsid w:val="00852F71"/>
    <w:rsid w:val="00853231"/>
    <w:rsid w:val="0085496B"/>
    <w:rsid w:val="0085511E"/>
    <w:rsid w:val="00856A4B"/>
    <w:rsid w:val="00857689"/>
    <w:rsid w:val="0086010C"/>
    <w:rsid w:val="00861E16"/>
    <w:rsid w:val="00863150"/>
    <w:rsid w:val="0086436F"/>
    <w:rsid w:val="00872CAF"/>
    <w:rsid w:val="00872E91"/>
    <w:rsid w:val="008732B5"/>
    <w:rsid w:val="00873DC6"/>
    <w:rsid w:val="0087590A"/>
    <w:rsid w:val="008829EF"/>
    <w:rsid w:val="008834B5"/>
    <w:rsid w:val="00884036"/>
    <w:rsid w:val="0088580E"/>
    <w:rsid w:val="00886425"/>
    <w:rsid w:val="00886C4C"/>
    <w:rsid w:val="00887CFB"/>
    <w:rsid w:val="008904BA"/>
    <w:rsid w:val="008905AC"/>
    <w:rsid w:val="00890D11"/>
    <w:rsid w:val="0089109E"/>
    <w:rsid w:val="0089124C"/>
    <w:rsid w:val="008912D5"/>
    <w:rsid w:val="00891610"/>
    <w:rsid w:val="00893709"/>
    <w:rsid w:val="008938C9"/>
    <w:rsid w:val="00893EE6"/>
    <w:rsid w:val="00893F83"/>
    <w:rsid w:val="00895132"/>
    <w:rsid w:val="008957A4"/>
    <w:rsid w:val="00896D70"/>
    <w:rsid w:val="00897644"/>
    <w:rsid w:val="008A10E9"/>
    <w:rsid w:val="008A2053"/>
    <w:rsid w:val="008A43C4"/>
    <w:rsid w:val="008A4880"/>
    <w:rsid w:val="008A5297"/>
    <w:rsid w:val="008A7439"/>
    <w:rsid w:val="008A7AD3"/>
    <w:rsid w:val="008B0357"/>
    <w:rsid w:val="008B0489"/>
    <w:rsid w:val="008B0777"/>
    <w:rsid w:val="008B078E"/>
    <w:rsid w:val="008B25DA"/>
    <w:rsid w:val="008B2A92"/>
    <w:rsid w:val="008B2B21"/>
    <w:rsid w:val="008B3091"/>
    <w:rsid w:val="008B3C46"/>
    <w:rsid w:val="008B3D7F"/>
    <w:rsid w:val="008B41DC"/>
    <w:rsid w:val="008B4B7E"/>
    <w:rsid w:val="008B50B6"/>
    <w:rsid w:val="008B5162"/>
    <w:rsid w:val="008C0129"/>
    <w:rsid w:val="008C0390"/>
    <w:rsid w:val="008C1C2E"/>
    <w:rsid w:val="008C3106"/>
    <w:rsid w:val="008C3DCD"/>
    <w:rsid w:val="008C45AB"/>
    <w:rsid w:val="008C46E1"/>
    <w:rsid w:val="008C5888"/>
    <w:rsid w:val="008C5EA7"/>
    <w:rsid w:val="008C6134"/>
    <w:rsid w:val="008C777A"/>
    <w:rsid w:val="008D1D4E"/>
    <w:rsid w:val="008D2C0D"/>
    <w:rsid w:val="008D315C"/>
    <w:rsid w:val="008D3863"/>
    <w:rsid w:val="008D3B8A"/>
    <w:rsid w:val="008D4262"/>
    <w:rsid w:val="008D49C9"/>
    <w:rsid w:val="008D4EB3"/>
    <w:rsid w:val="008D554D"/>
    <w:rsid w:val="008D5565"/>
    <w:rsid w:val="008D58D7"/>
    <w:rsid w:val="008D599E"/>
    <w:rsid w:val="008D5A7F"/>
    <w:rsid w:val="008D6673"/>
    <w:rsid w:val="008D7389"/>
    <w:rsid w:val="008D7DAF"/>
    <w:rsid w:val="008E1E47"/>
    <w:rsid w:val="008E2459"/>
    <w:rsid w:val="008E3F9F"/>
    <w:rsid w:val="008E4098"/>
    <w:rsid w:val="008E48B8"/>
    <w:rsid w:val="008E4C3F"/>
    <w:rsid w:val="008E5274"/>
    <w:rsid w:val="008E62B9"/>
    <w:rsid w:val="008E7050"/>
    <w:rsid w:val="008F1462"/>
    <w:rsid w:val="008F229D"/>
    <w:rsid w:val="008F3613"/>
    <w:rsid w:val="008F3AD2"/>
    <w:rsid w:val="008F3BFE"/>
    <w:rsid w:val="008F4F74"/>
    <w:rsid w:val="008F64E9"/>
    <w:rsid w:val="008F669E"/>
    <w:rsid w:val="009003FB"/>
    <w:rsid w:val="009016CE"/>
    <w:rsid w:val="00901A5F"/>
    <w:rsid w:val="0090268B"/>
    <w:rsid w:val="00905A37"/>
    <w:rsid w:val="00905CF4"/>
    <w:rsid w:val="009077D2"/>
    <w:rsid w:val="00907D74"/>
    <w:rsid w:val="00910118"/>
    <w:rsid w:val="0091043B"/>
    <w:rsid w:val="00910CD6"/>
    <w:rsid w:val="00911A26"/>
    <w:rsid w:val="009121FF"/>
    <w:rsid w:val="00913A3F"/>
    <w:rsid w:val="00913E95"/>
    <w:rsid w:val="00914C17"/>
    <w:rsid w:val="00914ED8"/>
    <w:rsid w:val="00915EA7"/>
    <w:rsid w:val="009166E8"/>
    <w:rsid w:val="00917A50"/>
    <w:rsid w:val="00917F47"/>
    <w:rsid w:val="0092035D"/>
    <w:rsid w:val="00920403"/>
    <w:rsid w:val="00921733"/>
    <w:rsid w:val="00921A6E"/>
    <w:rsid w:val="00922000"/>
    <w:rsid w:val="00922E3E"/>
    <w:rsid w:val="00922EC6"/>
    <w:rsid w:val="00923CF1"/>
    <w:rsid w:val="00924B2C"/>
    <w:rsid w:val="00925CC5"/>
    <w:rsid w:val="00925D6B"/>
    <w:rsid w:val="009273C8"/>
    <w:rsid w:val="009309D1"/>
    <w:rsid w:val="009310C6"/>
    <w:rsid w:val="00931CC6"/>
    <w:rsid w:val="009353AA"/>
    <w:rsid w:val="0093755A"/>
    <w:rsid w:val="0093777B"/>
    <w:rsid w:val="00940567"/>
    <w:rsid w:val="009414BE"/>
    <w:rsid w:val="009414C1"/>
    <w:rsid w:val="00941FD8"/>
    <w:rsid w:val="009425C0"/>
    <w:rsid w:val="00943413"/>
    <w:rsid w:val="009437F5"/>
    <w:rsid w:val="00943C58"/>
    <w:rsid w:val="009458E3"/>
    <w:rsid w:val="00947227"/>
    <w:rsid w:val="00952865"/>
    <w:rsid w:val="00952D9E"/>
    <w:rsid w:val="0095433D"/>
    <w:rsid w:val="00955194"/>
    <w:rsid w:val="00955674"/>
    <w:rsid w:val="00956CFC"/>
    <w:rsid w:val="009645D9"/>
    <w:rsid w:val="00964C0F"/>
    <w:rsid w:val="0097089F"/>
    <w:rsid w:val="009710BF"/>
    <w:rsid w:val="00973CCE"/>
    <w:rsid w:val="009759F5"/>
    <w:rsid w:val="00976185"/>
    <w:rsid w:val="00976203"/>
    <w:rsid w:val="0098085B"/>
    <w:rsid w:val="00980A8B"/>
    <w:rsid w:val="009810D6"/>
    <w:rsid w:val="009812C1"/>
    <w:rsid w:val="0098247D"/>
    <w:rsid w:val="00982811"/>
    <w:rsid w:val="009877E4"/>
    <w:rsid w:val="00990373"/>
    <w:rsid w:val="00992C21"/>
    <w:rsid w:val="00993C12"/>
    <w:rsid w:val="00994134"/>
    <w:rsid w:val="00994287"/>
    <w:rsid w:val="00996DB0"/>
    <w:rsid w:val="00997B26"/>
    <w:rsid w:val="009A01A9"/>
    <w:rsid w:val="009A2633"/>
    <w:rsid w:val="009A26CB"/>
    <w:rsid w:val="009A28BA"/>
    <w:rsid w:val="009A2F0D"/>
    <w:rsid w:val="009A35C9"/>
    <w:rsid w:val="009A7107"/>
    <w:rsid w:val="009A7893"/>
    <w:rsid w:val="009B3BA4"/>
    <w:rsid w:val="009B3C94"/>
    <w:rsid w:val="009B4F56"/>
    <w:rsid w:val="009B510D"/>
    <w:rsid w:val="009B5E97"/>
    <w:rsid w:val="009B609D"/>
    <w:rsid w:val="009B7508"/>
    <w:rsid w:val="009B79B5"/>
    <w:rsid w:val="009C1B5C"/>
    <w:rsid w:val="009C2568"/>
    <w:rsid w:val="009C2A0A"/>
    <w:rsid w:val="009C365A"/>
    <w:rsid w:val="009C443B"/>
    <w:rsid w:val="009C485A"/>
    <w:rsid w:val="009C4A4C"/>
    <w:rsid w:val="009C51CA"/>
    <w:rsid w:val="009C5B2C"/>
    <w:rsid w:val="009C5EAB"/>
    <w:rsid w:val="009C67AF"/>
    <w:rsid w:val="009C73AA"/>
    <w:rsid w:val="009C757C"/>
    <w:rsid w:val="009D16F8"/>
    <w:rsid w:val="009D182C"/>
    <w:rsid w:val="009D287E"/>
    <w:rsid w:val="009D48D1"/>
    <w:rsid w:val="009D4A00"/>
    <w:rsid w:val="009D5F7A"/>
    <w:rsid w:val="009D6F36"/>
    <w:rsid w:val="009D707B"/>
    <w:rsid w:val="009E0554"/>
    <w:rsid w:val="009E24DA"/>
    <w:rsid w:val="009E2523"/>
    <w:rsid w:val="009E2DF1"/>
    <w:rsid w:val="009E488D"/>
    <w:rsid w:val="009E49B3"/>
    <w:rsid w:val="009E5C7C"/>
    <w:rsid w:val="009E7A00"/>
    <w:rsid w:val="009F0039"/>
    <w:rsid w:val="009F06AB"/>
    <w:rsid w:val="009F29E9"/>
    <w:rsid w:val="009F4A52"/>
    <w:rsid w:val="009F661C"/>
    <w:rsid w:val="009F759E"/>
    <w:rsid w:val="00A00060"/>
    <w:rsid w:val="00A004A4"/>
    <w:rsid w:val="00A004CF"/>
    <w:rsid w:val="00A004EA"/>
    <w:rsid w:val="00A0143E"/>
    <w:rsid w:val="00A02258"/>
    <w:rsid w:val="00A02714"/>
    <w:rsid w:val="00A0364E"/>
    <w:rsid w:val="00A04DB7"/>
    <w:rsid w:val="00A05886"/>
    <w:rsid w:val="00A06415"/>
    <w:rsid w:val="00A06859"/>
    <w:rsid w:val="00A06D02"/>
    <w:rsid w:val="00A074B6"/>
    <w:rsid w:val="00A0769D"/>
    <w:rsid w:val="00A10482"/>
    <w:rsid w:val="00A11222"/>
    <w:rsid w:val="00A132BB"/>
    <w:rsid w:val="00A14B4C"/>
    <w:rsid w:val="00A24727"/>
    <w:rsid w:val="00A25256"/>
    <w:rsid w:val="00A26882"/>
    <w:rsid w:val="00A26F07"/>
    <w:rsid w:val="00A27E8A"/>
    <w:rsid w:val="00A3152B"/>
    <w:rsid w:val="00A31FE7"/>
    <w:rsid w:val="00A33245"/>
    <w:rsid w:val="00A336A0"/>
    <w:rsid w:val="00A34425"/>
    <w:rsid w:val="00A34576"/>
    <w:rsid w:val="00A34847"/>
    <w:rsid w:val="00A43A88"/>
    <w:rsid w:val="00A4410B"/>
    <w:rsid w:val="00A45205"/>
    <w:rsid w:val="00A50C67"/>
    <w:rsid w:val="00A51985"/>
    <w:rsid w:val="00A537E5"/>
    <w:rsid w:val="00A54442"/>
    <w:rsid w:val="00A54C8F"/>
    <w:rsid w:val="00A54CFB"/>
    <w:rsid w:val="00A558C7"/>
    <w:rsid w:val="00A579ED"/>
    <w:rsid w:val="00A60DD4"/>
    <w:rsid w:val="00A60E88"/>
    <w:rsid w:val="00A618C5"/>
    <w:rsid w:val="00A61A02"/>
    <w:rsid w:val="00A61B69"/>
    <w:rsid w:val="00A61FB3"/>
    <w:rsid w:val="00A62AB4"/>
    <w:rsid w:val="00A62B63"/>
    <w:rsid w:val="00A63067"/>
    <w:rsid w:val="00A63B07"/>
    <w:rsid w:val="00A6556D"/>
    <w:rsid w:val="00A705AF"/>
    <w:rsid w:val="00A70706"/>
    <w:rsid w:val="00A71387"/>
    <w:rsid w:val="00A71461"/>
    <w:rsid w:val="00A7331C"/>
    <w:rsid w:val="00A733F4"/>
    <w:rsid w:val="00A735D9"/>
    <w:rsid w:val="00A73EF4"/>
    <w:rsid w:val="00A75598"/>
    <w:rsid w:val="00A75984"/>
    <w:rsid w:val="00A772DF"/>
    <w:rsid w:val="00A809B8"/>
    <w:rsid w:val="00A80DE7"/>
    <w:rsid w:val="00A80FD4"/>
    <w:rsid w:val="00A81309"/>
    <w:rsid w:val="00A81CAA"/>
    <w:rsid w:val="00A81D95"/>
    <w:rsid w:val="00A829F2"/>
    <w:rsid w:val="00A82A3E"/>
    <w:rsid w:val="00A8309A"/>
    <w:rsid w:val="00A8337E"/>
    <w:rsid w:val="00A845C8"/>
    <w:rsid w:val="00A84832"/>
    <w:rsid w:val="00A84C3B"/>
    <w:rsid w:val="00A854CF"/>
    <w:rsid w:val="00A85509"/>
    <w:rsid w:val="00A9029D"/>
    <w:rsid w:val="00A90A27"/>
    <w:rsid w:val="00A91CAF"/>
    <w:rsid w:val="00A9258A"/>
    <w:rsid w:val="00A92D98"/>
    <w:rsid w:val="00A95134"/>
    <w:rsid w:val="00A96BCF"/>
    <w:rsid w:val="00A97C28"/>
    <w:rsid w:val="00AA0489"/>
    <w:rsid w:val="00AA1DE7"/>
    <w:rsid w:val="00AA3E68"/>
    <w:rsid w:val="00AA653F"/>
    <w:rsid w:val="00AA6717"/>
    <w:rsid w:val="00AA6BBF"/>
    <w:rsid w:val="00AB1D3F"/>
    <w:rsid w:val="00AB27B1"/>
    <w:rsid w:val="00AB7709"/>
    <w:rsid w:val="00AC1934"/>
    <w:rsid w:val="00AC2017"/>
    <w:rsid w:val="00AC2D88"/>
    <w:rsid w:val="00AC35A6"/>
    <w:rsid w:val="00AC4302"/>
    <w:rsid w:val="00AC44CE"/>
    <w:rsid w:val="00AC51BF"/>
    <w:rsid w:val="00AC7334"/>
    <w:rsid w:val="00AC7555"/>
    <w:rsid w:val="00AD02AB"/>
    <w:rsid w:val="00AD0725"/>
    <w:rsid w:val="00AD08C8"/>
    <w:rsid w:val="00AD09AB"/>
    <w:rsid w:val="00AD09E9"/>
    <w:rsid w:val="00AD1946"/>
    <w:rsid w:val="00AD3195"/>
    <w:rsid w:val="00AD6CDF"/>
    <w:rsid w:val="00AD7292"/>
    <w:rsid w:val="00AE0836"/>
    <w:rsid w:val="00AE09D8"/>
    <w:rsid w:val="00AE0A2E"/>
    <w:rsid w:val="00AE0A68"/>
    <w:rsid w:val="00AE154C"/>
    <w:rsid w:val="00AE2C0B"/>
    <w:rsid w:val="00AE318E"/>
    <w:rsid w:val="00AE5095"/>
    <w:rsid w:val="00AE541A"/>
    <w:rsid w:val="00AE6457"/>
    <w:rsid w:val="00AE6788"/>
    <w:rsid w:val="00AE6B59"/>
    <w:rsid w:val="00AF081D"/>
    <w:rsid w:val="00AF25E7"/>
    <w:rsid w:val="00AF2C18"/>
    <w:rsid w:val="00AF2C5C"/>
    <w:rsid w:val="00AF361D"/>
    <w:rsid w:val="00AF4A5B"/>
    <w:rsid w:val="00AF5B1C"/>
    <w:rsid w:val="00AF5C28"/>
    <w:rsid w:val="00AF664F"/>
    <w:rsid w:val="00AF758E"/>
    <w:rsid w:val="00B007F1"/>
    <w:rsid w:val="00B01AE6"/>
    <w:rsid w:val="00B01F97"/>
    <w:rsid w:val="00B033FD"/>
    <w:rsid w:val="00B036C5"/>
    <w:rsid w:val="00B059BF"/>
    <w:rsid w:val="00B0768C"/>
    <w:rsid w:val="00B07DA7"/>
    <w:rsid w:val="00B11EB3"/>
    <w:rsid w:val="00B13CB8"/>
    <w:rsid w:val="00B15E8D"/>
    <w:rsid w:val="00B15F49"/>
    <w:rsid w:val="00B1634C"/>
    <w:rsid w:val="00B16626"/>
    <w:rsid w:val="00B17981"/>
    <w:rsid w:val="00B20A24"/>
    <w:rsid w:val="00B21A66"/>
    <w:rsid w:val="00B225BF"/>
    <w:rsid w:val="00B22E2E"/>
    <w:rsid w:val="00B233B3"/>
    <w:rsid w:val="00B2494E"/>
    <w:rsid w:val="00B24A2B"/>
    <w:rsid w:val="00B253B0"/>
    <w:rsid w:val="00B256B2"/>
    <w:rsid w:val="00B25C97"/>
    <w:rsid w:val="00B25FC8"/>
    <w:rsid w:val="00B264A5"/>
    <w:rsid w:val="00B2750C"/>
    <w:rsid w:val="00B30AFA"/>
    <w:rsid w:val="00B3362D"/>
    <w:rsid w:val="00B33AF8"/>
    <w:rsid w:val="00B36F23"/>
    <w:rsid w:val="00B407DB"/>
    <w:rsid w:val="00B41D11"/>
    <w:rsid w:val="00B431BC"/>
    <w:rsid w:val="00B44990"/>
    <w:rsid w:val="00B449C3"/>
    <w:rsid w:val="00B44EF8"/>
    <w:rsid w:val="00B459F6"/>
    <w:rsid w:val="00B46C70"/>
    <w:rsid w:val="00B47A2D"/>
    <w:rsid w:val="00B47B64"/>
    <w:rsid w:val="00B5038C"/>
    <w:rsid w:val="00B50FC7"/>
    <w:rsid w:val="00B56961"/>
    <w:rsid w:val="00B56CC3"/>
    <w:rsid w:val="00B56F8E"/>
    <w:rsid w:val="00B57AC8"/>
    <w:rsid w:val="00B60FF3"/>
    <w:rsid w:val="00B61019"/>
    <w:rsid w:val="00B61EC9"/>
    <w:rsid w:val="00B6301E"/>
    <w:rsid w:val="00B65B72"/>
    <w:rsid w:val="00B66F4B"/>
    <w:rsid w:val="00B67259"/>
    <w:rsid w:val="00B70520"/>
    <w:rsid w:val="00B723A0"/>
    <w:rsid w:val="00B72854"/>
    <w:rsid w:val="00B74448"/>
    <w:rsid w:val="00B74F77"/>
    <w:rsid w:val="00B767BE"/>
    <w:rsid w:val="00B76D02"/>
    <w:rsid w:val="00B77ECC"/>
    <w:rsid w:val="00B80110"/>
    <w:rsid w:val="00B80808"/>
    <w:rsid w:val="00B80DE5"/>
    <w:rsid w:val="00B81079"/>
    <w:rsid w:val="00B812F2"/>
    <w:rsid w:val="00B81954"/>
    <w:rsid w:val="00B83336"/>
    <w:rsid w:val="00B83A02"/>
    <w:rsid w:val="00B83A6C"/>
    <w:rsid w:val="00B83ACC"/>
    <w:rsid w:val="00B85D0A"/>
    <w:rsid w:val="00B8644D"/>
    <w:rsid w:val="00B86501"/>
    <w:rsid w:val="00B86A21"/>
    <w:rsid w:val="00B87BCF"/>
    <w:rsid w:val="00B902F9"/>
    <w:rsid w:val="00B925C3"/>
    <w:rsid w:val="00B92EFA"/>
    <w:rsid w:val="00B93B1B"/>
    <w:rsid w:val="00B943E1"/>
    <w:rsid w:val="00B9559F"/>
    <w:rsid w:val="00B95908"/>
    <w:rsid w:val="00B96084"/>
    <w:rsid w:val="00B9712E"/>
    <w:rsid w:val="00B97C2B"/>
    <w:rsid w:val="00BA02EA"/>
    <w:rsid w:val="00BA0753"/>
    <w:rsid w:val="00BA07AA"/>
    <w:rsid w:val="00BA0941"/>
    <w:rsid w:val="00BA1A55"/>
    <w:rsid w:val="00BA2F04"/>
    <w:rsid w:val="00BA39F6"/>
    <w:rsid w:val="00BA5230"/>
    <w:rsid w:val="00BA5F25"/>
    <w:rsid w:val="00BA5FBA"/>
    <w:rsid w:val="00BA64A7"/>
    <w:rsid w:val="00BA7060"/>
    <w:rsid w:val="00BA7996"/>
    <w:rsid w:val="00BB0633"/>
    <w:rsid w:val="00BB07C3"/>
    <w:rsid w:val="00BB1178"/>
    <w:rsid w:val="00BB21EC"/>
    <w:rsid w:val="00BB2D32"/>
    <w:rsid w:val="00BB30EC"/>
    <w:rsid w:val="00BB4E1C"/>
    <w:rsid w:val="00BC04E4"/>
    <w:rsid w:val="00BC0F8F"/>
    <w:rsid w:val="00BC4720"/>
    <w:rsid w:val="00BC4962"/>
    <w:rsid w:val="00BC6002"/>
    <w:rsid w:val="00BD00C2"/>
    <w:rsid w:val="00BD3402"/>
    <w:rsid w:val="00BD4306"/>
    <w:rsid w:val="00BD5C07"/>
    <w:rsid w:val="00BD6CDA"/>
    <w:rsid w:val="00BE0A6B"/>
    <w:rsid w:val="00BE0C30"/>
    <w:rsid w:val="00BE16B1"/>
    <w:rsid w:val="00BE1B78"/>
    <w:rsid w:val="00BE3D64"/>
    <w:rsid w:val="00BE3F03"/>
    <w:rsid w:val="00BE47C8"/>
    <w:rsid w:val="00BE7B37"/>
    <w:rsid w:val="00BF0544"/>
    <w:rsid w:val="00BF0B4B"/>
    <w:rsid w:val="00BF1BC6"/>
    <w:rsid w:val="00BF2C5F"/>
    <w:rsid w:val="00BF4419"/>
    <w:rsid w:val="00BF5FB7"/>
    <w:rsid w:val="00C0148C"/>
    <w:rsid w:val="00C014A6"/>
    <w:rsid w:val="00C01AD0"/>
    <w:rsid w:val="00C022CC"/>
    <w:rsid w:val="00C03011"/>
    <w:rsid w:val="00C048E6"/>
    <w:rsid w:val="00C05653"/>
    <w:rsid w:val="00C07279"/>
    <w:rsid w:val="00C07CB6"/>
    <w:rsid w:val="00C113F3"/>
    <w:rsid w:val="00C12417"/>
    <w:rsid w:val="00C12C1C"/>
    <w:rsid w:val="00C1608F"/>
    <w:rsid w:val="00C17E8E"/>
    <w:rsid w:val="00C21980"/>
    <w:rsid w:val="00C21A56"/>
    <w:rsid w:val="00C22633"/>
    <w:rsid w:val="00C22D39"/>
    <w:rsid w:val="00C23A0F"/>
    <w:rsid w:val="00C24620"/>
    <w:rsid w:val="00C24AD2"/>
    <w:rsid w:val="00C24C61"/>
    <w:rsid w:val="00C25CF5"/>
    <w:rsid w:val="00C26D07"/>
    <w:rsid w:val="00C26EB2"/>
    <w:rsid w:val="00C27A09"/>
    <w:rsid w:val="00C30BC5"/>
    <w:rsid w:val="00C30D6B"/>
    <w:rsid w:val="00C32C48"/>
    <w:rsid w:val="00C37D75"/>
    <w:rsid w:val="00C37FC5"/>
    <w:rsid w:val="00C4140F"/>
    <w:rsid w:val="00C414B2"/>
    <w:rsid w:val="00C41B20"/>
    <w:rsid w:val="00C41FDD"/>
    <w:rsid w:val="00C430C3"/>
    <w:rsid w:val="00C4318F"/>
    <w:rsid w:val="00C43271"/>
    <w:rsid w:val="00C44570"/>
    <w:rsid w:val="00C45564"/>
    <w:rsid w:val="00C45FFC"/>
    <w:rsid w:val="00C46561"/>
    <w:rsid w:val="00C50C7A"/>
    <w:rsid w:val="00C50E86"/>
    <w:rsid w:val="00C515CC"/>
    <w:rsid w:val="00C51C98"/>
    <w:rsid w:val="00C524A7"/>
    <w:rsid w:val="00C52D26"/>
    <w:rsid w:val="00C53600"/>
    <w:rsid w:val="00C54336"/>
    <w:rsid w:val="00C55114"/>
    <w:rsid w:val="00C553DB"/>
    <w:rsid w:val="00C55B32"/>
    <w:rsid w:val="00C55B60"/>
    <w:rsid w:val="00C60878"/>
    <w:rsid w:val="00C60A09"/>
    <w:rsid w:val="00C61B1C"/>
    <w:rsid w:val="00C61E98"/>
    <w:rsid w:val="00C63731"/>
    <w:rsid w:val="00C63B4A"/>
    <w:rsid w:val="00C648A9"/>
    <w:rsid w:val="00C65685"/>
    <w:rsid w:val="00C6568B"/>
    <w:rsid w:val="00C67033"/>
    <w:rsid w:val="00C70892"/>
    <w:rsid w:val="00C708DB"/>
    <w:rsid w:val="00C72931"/>
    <w:rsid w:val="00C72EA2"/>
    <w:rsid w:val="00C74524"/>
    <w:rsid w:val="00C74ADE"/>
    <w:rsid w:val="00C757EA"/>
    <w:rsid w:val="00C777F9"/>
    <w:rsid w:val="00C80D3B"/>
    <w:rsid w:val="00C80ED1"/>
    <w:rsid w:val="00C827D1"/>
    <w:rsid w:val="00C8393C"/>
    <w:rsid w:val="00C84FCE"/>
    <w:rsid w:val="00C85BB5"/>
    <w:rsid w:val="00C87154"/>
    <w:rsid w:val="00C877CF"/>
    <w:rsid w:val="00C87861"/>
    <w:rsid w:val="00C878E3"/>
    <w:rsid w:val="00C87DD8"/>
    <w:rsid w:val="00C90763"/>
    <w:rsid w:val="00C954F1"/>
    <w:rsid w:val="00C9569B"/>
    <w:rsid w:val="00C960A0"/>
    <w:rsid w:val="00C97351"/>
    <w:rsid w:val="00C97DBC"/>
    <w:rsid w:val="00CA0682"/>
    <w:rsid w:val="00CA0B0F"/>
    <w:rsid w:val="00CA1A2F"/>
    <w:rsid w:val="00CA1A32"/>
    <w:rsid w:val="00CA2529"/>
    <w:rsid w:val="00CA2BA9"/>
    <w:rsid w:val="00CA3728"/>
    <w:rsid w:val="00CA4607"/>
    <w:rsid w:val="00CA5A52"/>
    <w:rsid w:val="00CA5E5F"/>
    <w:rsid w:val="00CA6783"/>
    <w:rsid w:val="00CA73BB"/>
    <w:rsid w:val="00CB07EE"/>
    <w:rsid w:val="00CB0ADA"/>
    <w:rsid w:val="00CB1F4F"/>
    <w:rsid w:val="00CB23FC"/>
    <w:rsid w:val="00CB2B76"/>
    <w:rsid w:val="00CB3EDC"/>
    <w:rsid w:val="00CB4546"/>
    <w:rsid w:val="00CB49DE"/>
    <w:rsid w:val="00CB5119"/>
    <w:rsid w:val="00CB603D"/>
    <w:rsid w:val="00CB6489"/>
    <w:rsid w:val="00CC0A47"/>
    <w:rsid w:val="00CC0BAD"/>
    <w:rsid w:val="00CC139B"/>
    <w:rsid w:val="00CC155F"/>
    <w:rsid w:val="00CC5AFC"/>
    <w:rsid w:val="00CC6763"/>
    <w:rsid w:val="00CC6B92"/>
    <w:rsid w:val="00CC7662"/>
    <w:rsid w:val="00CD2BAA"/>
    <w:rsid w:val="00CD4C87"/>
    <w:rsid w:val="00CD53B3"/>
    <w:rsid w:val="00CD7FEF"/>
    <w:rsid w:val="00CE13E5"/>
    <w:rsid w:val="00CE287A"/>
    <w:rsid w:val="00CE30A8"/>
    <w:rsid w:val="00CE30D9"/>
    <w:rsid w:val="00CE5B05"/>
    <w:rsid w:val="00CE7CD1"/>
    <w:rsid w:val="00CE7DDA"/>
    <w:rsid w:val="00CE7DF5"/>
    <w:rsid w:val="00CF05A4"/>
    <w:rsid w:val="00CF2179"/>
    <w:rsid w:val="00CF31E9"/>
    <w:rsid w:val="00CF4A4D"/>
    <w:rsid w:val="00CF6622"/>
    <w:rsid w:val="00CF6E82"/>
    <w:rsid w:val="00D007EA"/>
    <w:rsid w:val="00D04BC5"/>
    <w:rsid w:val="00D05563"/>
    <w:rsid w:val="00D11D5D"/>
    <w:rsid w:val="00D126C6"/>
    <w:rsid w:val="00D131F6"/>
    <w:rsid w:val="00D140C3"/>
    <w:rsid w:val="00D141A8"/>
    <w:rsid w:val="00D145F9"/>
    <w:rsid w:val="00D14830"/>
    <w:rsid w:val="00D14CB1"/>
    <w:rsid w:val="00D152C4"/>
    <w:rsid w:val="00D1565E"/>
    <w:rsid w:val="00D15889"/>
    <w:rsid w:val="00D16C4E"/>
    <w:rsid w:val="00D17216"/>
    <w:rsid w:val="00D2079A"/>
    <w:rsid w:val="00D214B4"/>
    <w:rsid w:val="00D21D1C"/>
    <w:rsid w:val="00D21DE6"/>
    <w:rsid w:val="00D221E7"/>
    <w:rsid w:val="00D22E63"/>
    <w:rsid w:val="00D22EA3"/>
    <w:rsid w:val="00D22FF3"/>
    <w:rsid w:val="00D23037"/>
    <w:rsid w:val="00D24535"/>
    <w:rsid w:val="00D24BA0"/>
    <w:rsid w:val="00D2796F"/>
    <w:rsid w:val="00D31D42"/>
    <w:rsid w:val="00D3216F"/>
    <w:rsid w:val="00D32186"/>
    <w:rsid w:val="00D3227D"/>
    <w:rsid w:val="00D32579"/>
    <w:rsid w:val="00D33DEF"/>
    <w:rsid w:val="00D35475"/>
    <w:rsid w:val="00D40166"/>
    <w:rsid w:val="00D40722"/>
    <w:rsid w:val="00D413EF"/>
    <w:rsid w:val="00D41D6C"/>
    <w:rsid w:val="00D41FD6"/>
    <w:rsid w:val="00D42094"/>
    <w:rsid w:val="00D43FB6"/>
    <w:rsid w:val="00D4404A"/>
    <w:rsid w:val="00D44F10"/>
    <w:rsid w:val="00D45705"/>
    <w:rsid w:val="00D45783"/>
    <w:rsid w:val="00D46943"/>
    <w:rsid w:val="00D46F60"/>
    <w:rsid w:val="00D47767"/>
    <w:rsid w:val="00D47F77"/>
    <w:rsid w:val="00D50A1E"/>
    <w:rsid w:val="00D50C50"/>
    <w:rsid w:val="00D52A41"/>
    <w:rsid w:val="00D540B8"/>
    <w:rsid w:val="00D5485B"/>
    <w:rsid w:val="00D54A50"/>
    <w:rsid w:val="00D5552C"/>
    <w:rsid w:val="00D557C4"/>
    <w:rsid w:val="00D56494"/>
    <w:rsid w:val="00D56D7D"/>
    <w:rsid w:val="00D575D2"/>
    <w:rsid w:val="00D57BC6"/>
    <w:rsid w:val="00D6041F"/>
    <w:rsid w:val="00D61497"/>
    <w:rsid w:val="00D61941"/>
    <w:rsid w:val="00D63641"/>
    <w:rsid w:val="00D63D46"/>
    <w:rsid w:val="00D65B81"/>
    <w:rsid w:val="00D65C42"/>
    <w:rsid w:val="00D65FFC"/>
    <w:rsid w:val="00D66AD1"/>
    <w:rsid w:val="00D66CAF"/>
    <w:rsid w:val="00D670A4"/>
    <w:rsid w:val="00D671D4"/>
    <w:rsid w:val="00D67F2E"/>
    <w:rsid w:val="00D7055F"/>
    <w:rsid w:val="00D70C3A"/>
    <w:rsid w:val="00D725D2"/>
    <w:rsid w:val="00D73868"/>
    <w:rsid w:val="00D7539A"/>
    <w:rsid w:val="00D76960"/>
    <w:rsid w:val="00D777CE"/>
    <w:rsid w:val="00D77F08"/>
    <w:rsid w:val="00D80550"/>
    <w:rsid w:val="00D82489"/>
    <w:rsid w:val="00D84587"/>
    <w:rsid w:val="00D84799"/>
    <w:rsid w:val="00D863EE"/>
    <w:rsid w:val="00D865F0"/>
    <w:rsid w:val="00D866AF"/>
    <w:rsid w:val="00D86F4C"/>
    <w:rsid w:val="00D9162B"/>
    <w:rsid w:val="00D9429B"/>
    <w:rsid w:val="00D94308"/>
    <w:rsid w:val="00D958E4"/>
    <w:rsid w:val="00D95D05"/>
    <w:rsid w:val="00D963F7"/>
    <w:rsid w:val="00D97B68"/>
    <w:rsid w:val="00D97BA6"/>
    <w:rsid w:val="00DA090C"/>
    <w:rsid w:val="00DA2E68"/>
    <w:rsid w:val="00DA2E6E"/>
    <w:rsid w:val="00DA434C"/>
    <w:rsid w:val="00DA4652"/>
    <w:rsid w:val="00DA4928"/>
    <w:rsid w:val="00DA5F58"/>
    <w:rsid w:val="00DB08DF"/>
    <w:rsid w:val="00DB139E"/>
    <w:rsid w:val="00DB16F6"/>
    <w:rsid w:val="00DB1BE7"/>
    <w:rsid w:val="00DB35F6"/>
    <w:rsid w:val="00DB3D8A"/>
    <w:rsid w:val="00DB480C"/>
    <w:rsid w:val="00DB4A03"/>
    <w:rsid w:val="00DB5C24"/>
    <w:rsid w:val="00DB7C60"/>
    <w:rsid w:val="00DC0C17"/>
    <w:rsid w:val="00DC25F7"/>
    <w:rsid w:val="00DC2BC4"/>
    <w:rsid w:val="00DC2DA4"/>
    <w:rsid w:val="00DC3E71"/>
    <w:rsid w:val="00DC64A0"/>
    <w:rsid w:val="00DD0C43"/>
    <w:rsid w:val="00DD2314"/>
    <w:rsid w:val="00DD30FA"/>
    <w:rsid w:val="00DD3565"/>
    <w:rsid w:val="00DD4E2D"/>
    <w:rsid w:val="00DD4F3D"/>
    <w:rsid w:val="00DD691B"/>
    <w:rsid w:val="00DE000C"/>
    <w:rsid w:val="00DE004D"/>
    <w:rsid w:val="00DE0925"/>
    <w:rsid w:val="00DE4919"/>
    <w:rsid w:val="00DE532F"/>
    <w:rsid w:val="00DE5AE1"/>
    <w:rsid w:val="00DE5C89"/>
    <w:rsid w:val="00DF06E1"/>
    <w:rsid w:val="00DF1149"/>
    <w:rsid w:val="00DF11DF"/>
    <w:rsid w:val="00DF1635"/>
    <w:rsid w:val="00DF1F54"/>
    <w:rsid w:val="00DF2BA0"/>
    <w:rsid w:val="00DF3112"/>
    <w:rsid w:val="00DF33EB"/>
    <w:rsid w:val="00DF676E"/>
    <w:rsid w:val="00DF694A"/>
    <w:rsid w:val="00DF6C69"/>
    <w:rsid w:val="00DF7478"/>
    <w:rsid w:val="00DF78B4"/>
    <w:rsid w:val="00DF7DCE"/>
    <w:rsid w:val="00E00F1C"/>
    <w:rsid w:val="00E0204B"/>
    <w:rsid w:val="00E028AC"/>
    <w:rsid w:val="00E02AE6"/>
    <w:rsid w:val="00E02B65"/>
    <w:rsid w:val="00E03541"/>
    <w:rsid w:val="00E05017"/>
    <w:rsid w:val="00E05265"/>
    <w:rsid w:val="00E07A86"/>
    <w:rsid w:val="00E07B45"/>
    <w:rsid w:val="00E11739"/>
    <w:rsid w:val="00E1294E"/>
    <w:rsid w:val="00E1300A"/>
    <w:rsid w:val="00E13CBF"/>
    <w:rsid w:val="00E13E80"/>
    <w:rsid w:val="00E14730"/>
    <w:rsid w:val="00E14AC5"/>
    <w:rsid w:val="00E159E0"/>
    <w:rsid w:val="00E17877"/>
    <w:rsid w:val="00E202D8"/>
    <w:rsid w:val="00E209C9"/>
    <w:rsid w:val="00E217E7"/>
    <w:rsid w:val="00E22220"/>
    <w:rsid w:val="00E22C33"/>
    <w:rsid w:val="00E22CC0"/>
    <w:rsid w:val="00E257AA"/>
    <w:rsid w:val="00E26711"/>
    <w:rsid w:val="00E26913"/>
    <w:rsid w:val="00E26D07"/>
    <w:rsid w:val="00E302B1"/>
    <w:rsid w:val="00E3111B"/>
    <w:rsid w:val="00E316C7"/>
    <w:rsid w:val="00E32343"/>
    <w:rsid w:val="00E33CC8"/>
    <w:rsid w:val="00E3642A"/>
    <w:rsid w:val="00E36EDC"/>
    <w:rsid w:val="00E37243"/>
    <w:rsid w:val="00E37C73"/>
    <w:rsid w:val="00E405DC"/>
    <w:rsid w:val="00E42252"/>
    <w:rsid w:val="00E4317B"/>
    <w:rsid w:val="00E4334C"/>
    <w:rsid w:val="00E435B1"/>
    <w:rsid w:val="00E449D3"/>
    <w:rsid w:val="00E44EAF"/>
    <w:rsid w:val="00E458D7"/>
    <w:rsid w:val="00E4776D"/>
    <w:rsid w:val="00E51058"/>
    <w:rsid w:val="00E511D1"/>
    <w:rsid w:val="00E5153E"/>
    <w:rsid w:val="00E51B47"/>
    <w:rsid w:val="00E54FEB"/>
    <w:rsid w:val="00E55F53"/>
    <w:rsid w:val="00E56B51"/>
    <w:rsid w:val="00E5729B"/>
    <w:rsid w:val="00E60240"/>
    <w:rsid w:val="00E60747"/>
    <w:rsid w:val="00E6147B"/>
    <w:rsid w:val="00E62A34"/>
    <w:rsid w:val="00E6347C"/>
    <w:rsid w:val="00E648A2"/>
    <w:rsid w:val="00E707C6"/>
    <w:rsid w:val="00E72170"/>
    <w:rsid w:val="00E74C34"/>
    <w:rsid w:val="00E74D0D"/>
    <w:rsid w:val="00E74EB7"/>
    <w:rsid w:val="00E7516D"/>
    <w:rsid w:val="00E770E6"/>
    <w:rsid w:val="00E77887"/>
    <w:rsid w:val="00E8214F"/>
    <w:rsid w:val="00E82A8D"/>
    <w:rsid w:val="00E84D45"/>
    <w:rsid w:val="00E853D3"/>
    <w:rsid w:val="00E85DB6"/>
    <w:rsid w:val="00E865C2"/>
    <w:rsid w:val="00E87493"/>
    <w:rsid w:val="00E87E6C"/>
    <w:rsid w:val="00E92313"/>
    <w:rsid w:val="00E925AA"/>
    <w:rsid w:val="00E928AA"/>
    <w:rsid w:val="00E929E1"/>
    <w:rsid w:val="00E93673"/>
    <w:rsid w:val="00E9455A"/>
    <w:rsid w:val="00E94938"/>
    <w:rsid w:val="00E95E00"/>
    <w:rsid w:val="00E95F15"/>
    <w:rsid w:val="00E964BD"/>
    <w:rsid w:val="00E96573"/>
    <w:rsid w:val="00E96AE5"/>
    <w:rsid w:val="00EA05A0"/>
    <w:rsid w:val="00EA2209"/>
    <w:rsid w:val="00EA3DA0"/>
    <w:rsid w:val="00EA7010"/>
    <w:rsid w:val="00EA7B07"/>
    <w:rsid w:val="00EB0E35"/>
    <w:rsid w:val="00EB1514"/>
    <w:rsid w:val="00EB27D4"/>
    <w:rsid w:val="00EB314C"/>
    <w:rsid w:val="00EB3203"/>
    <w:rsid w:val="00EB3CB2"/>
    <w:rsid w:val="00EB49AF"/>
    <w:rsid w:val="00EC2222"/>
    <w:rsid w:val="00EC47A3"/>
    <w:rsid w:val="00EC5C48"/>
    <w:rsid w:val="00EC61C6"/>
    <w:rsid w:val="00EC6ED1"/>
    <w:rsid w:val="00ED08C2"/>
    <w:rsid w:val="00ED0B2C"/>
    <w:rsid w:val="00ED1932"/>
    <w:rsid w:val="00ED2061"/>
    <w:rsid w:val="00ED2B8E"/>
    <w:rsid w:val="00ED6D55"/>
    <w:rsid w:val="00ED7F18"/>
    <w:rsid w:val="00EE103E"/>
    <w:rsid w:val="00EE1D78"/>
    <w:rsid w:val="00EE2E7D"/>
    <w:rsid w:val="00EE35F3"/>
    <w:rsid w:val="00EE3B03"/>
    <w:rsid w:val="00EE4119"/>
    <w:rsid w:val="00EE4CE1"/>
    <w:rsid w:val="00EE5343"/>
    <w:rsid w:val="00EE6097"/>
    <w:rsid w:val="00EF0BF2"/>
    <w:rsid w:val="00EF0C23"/>
    <w:rsid w:val="00EF0CBA"/>
    <w:rsid w:val="00EF121E"/>
    <w:rsid w:val="00EF1F47"/>
    <w:rsid w:val="00EF3BE5"/>
    <w:rsid w:val="00EF50BB"/>
    <w:rsid w:val="00EF723A"/>
    <w:rsid w:val="00EF7A73"/>
    <w:rsid w:val="00EF7D8A"/>
    <w:rsid w:val="00F01333"/>
    <w:rsid w:val="00F01CAB"/>
    <w:rsid w:val="00F024F7"/>
    <w:rsid w:val="00F033C4"/>
    <w:rsid w:val="00F03401"/>
    <w:rsid w:val="00F037D0"/>
    <w:rsid w:val="00F0524D"/>
    <w:rsid w:val="00F05673"/>
    <w:rsid w:val="00F06138"/>
    <w:rsid w:val="00F11791"/>
    <w:rsid w:val="00F1189A"/>
    <w:rsid w:val="00F12B3C"/>
    <w:rsid w:val="00F151A3"/>
    <w:rsid w:val="00F16182"/>
    <w:rsid w:val="00F162B4"/>
    <w:rsid w:val="00F16434"/>
    <w:rsid w:val="00F170BE"/>
    <w:rsid w:val="00F1772D"/>
    <w:rsid w:val="00F17FA1"/>
    <w:rsid w:val="00F21888"/>
    <w:rsid w:val="00F22493"/>
    <w:rsid w:val="00F24602"/>
    <w:rsid w:val="00F25452"/>
    <w:rsid w:val="00F2667C"/>
    <w:rsid w:val="00F27376"/>
    <w:rsid w:val="00F27927"/>
    <w:rsid w:val="00F30169"/>
    <w:rsid w:val="00F31268"/>
    <w:rsid w:val="00F313D2"/>
    <w:rsid w:val="00F3179F"/>
    <w:rsid w:val="00F31EB6"/>
    <w:rsid w:val="00F32C7A"/>
    <w:rsid w:val="00F334F7"/>
    <w:rsid w:val="00F339BE"/>
    <w:rsid w:val="00F3494E"/>
    <w:rsid w:val="00F34BFC"/>
    <w:rsid w:val="00F34C83"/>
    <w:rsid w:val="00F35CB2"/>
    <w:rsid w:val="00F37ECB"/>
    <w:rsid w:val="00F41B17"/>
    <w:rsid w:val="00F41D70"/>
    <w:rsid w:val="00F4306A"/>
    <w:rsid w:val="00F430B5"/>
    <w:rsid w:val="00F435F6"/>
    <w:rsid w:val="00F43F51"/>
    <w:rsid w:val="00F44079"/>
    <w:rsid w:val="00F4459F"/>
    <w:rsid w:val="00F45506"/>
    <w:rsid w:val="00F46786"/>
    <w:rsid w:val="00F472C2"/>
    <w:rsid w:val="00F507FE"/>
    <w:rsid w:val="00F51634"/>
    <w:rsid w:val="00F51DC5"/>
    <w:rsid w:val="00F541D3"/>
    <w:rsid w:val="00F54310"/>
    <w:rsid w:val="00F55385"/>
    <w:rsid w:val="00F56F31"/>
    <w:rsid w:val="00F60802"/>
    <w:rsid w:val="00F61410"/>
    <w:rsid w:val="00F61569"/>
    <w:rsid w:val="00F61803"/>
    <w:rsid w:val="00F63E99"/>
    <w:rsid w:val="00F6614E"/>
    <w:rsid w:val="00F662F3"/>
    <w:rsid w:val="00F67100"/>
    <w:rsid w:val="00F674FE"/>
    <w:rsid w:val="00F70B1B"/>
    <w:rsid w:val="00F71D35"/>
    <w:rsid w:val="00F757BF"/>
    <w:rsid w:val="00F75E43"/>
    <w:rsid w:val="00F75F35"/>
    <w:rsid w:val="00F7685A"/>
    <w:rsid w:val="00F776E3"/>
    <w:rsid w:val="00F777F1"/>
    <w:rsid w:val="00F77E55"/>
    <w:rsid w:val="00F80D14"/>
    <w:rsid w:val="00F81776"/>
    <w:rsid w:val="00F8324A"/>
    <w:rsid w:val="00F83D2A"/>
    <w:rsid w:val="00F84FBF"/>
    <w:rsid w:val="00F851D1"/>
    <w:rsid w:val="00F860D8"/>
    <w:rsid w:val="00F860FB"/>
    <w:rsid w:val="00F86AB3"/>
    <w:rsid w:val="00F87F08"/>
    <w:rsid w:val="00F87F56"/>
    <w:rsid w:val="00F906B6"/>
    <w:rsid w:val="00F909FA"/>
    <w:rsid w:val="00F910A3"/>
    <w:rsid w:val="00F91F6F"/>
    <w:rsid w:val="00F925AA"/>
    <w:rsid w:val="00F931D4"/>
    <w:rsid w:val="00F94C9D"/>
    <w:rsid w:val="00F953C3"/>
    <w:rsid w:val="00F9585C"/>
    <w:rsid w:val="00F95AF7"/>
    <w:rsid w:val="00F95C80"/>
    <w:rsid w:val="00F95FFB"/>
    <w:rsid w:val="00F97467"/>
    <w:rsid w:val="00F97FAB"/>
    <w:rsid w:val="00FA0201"/>
    <w:rsid w:val="00FA08D6"/>
    <w:rsid w:val="00FA0EA8"/>
    <w:rsid w:val="00FA100E"/>
    <w:rsid w:val="00FA1245"/>
    <w:rsid w:val="00FA17A7"/>
    <w:rsid w:val="00FA4363"/>
    <w:rsid w:val="00FA5C60"/>
    <w:rsid w:val="00FA6356"/>
    <w:rsid w:val="00FA6D94"/>
    <w:rsid w:val="00FA6FAD"/>
    <w:rsid w:val="00FA720E"/>
    <w:rsid w:val="00FA7993"/>
    <w:rsid w:val="00FB036C"/>
    <w:rsid w:val="00FB037C"/>
    <w:rsid w:val="00FB040E"/>
    <w:rsid w:val="00FB0781"/>
    <w:rsid w:val="00FB356E"/>
    <w:rsid w:val="00FB3782"/>
    <w:rsid w:val="00FB6022"/>
    <w:rsid w:val="00FB64F0"/>
    <w:rsid w:val="00FB6C72"/>
    <w:rsid w:val="00FB72B1"/>
    <w:rsid w:val="00FC118C"/>
    <w:rsid w:val="00FC25C1"/>
    <w:rsid w:val="00FC27DC"/>
    <w:rsid w:val="00FC2FAD"/>
    <w:rsid w:val="00FC5EA3"/>
    <w:rsid w:val="00FC669D"/>
    <w:rsid w:val="00FC7480"/>
    <w:rsid w:val="00FD025B"/>
    <w:rsid w:val="00FD084F"/>
    <w:rsid w:val="00FD0BE9"/>
    <w:rsid w:val="00FD1284"/>
    <w:rsid w:val="00FD1B4D"/>
    <w:rsid w:val="00FD4450"/>
    <w:rsid w:val="00FD4F1E"/>
    <w:rsid w:val="00FD5550"/>
    <w:rsid w:val="00FD5710"/>
    <w:rsid w:val="00FD6A1B"/>
    <w:rsid w:val="00FD6C36"/>
    <w:rsid w:val="00FD6C44"/>
    <w:rsid w:val="00FD7518"/>
    <w:rsid w:val="00FE0EBB"/>
    <w:rsid w:val="00FE1A93"/>
    <w:rsid w:val="00FE1C07"/>
    <w:rsid w:val="00FE278A"/>
    <w:rsid w:val="00FE2985"/>
    <w:rsid w:val="00FE44C1"/>
    <w:rsid w:val="00FE5993"/>
    <w:rsid w:val="00FE5A4D"/>
    <w:rsid w:val="00FE65A5"/>
    <w:rsid w:val="00FE70BD"/>
    <w:rsid w:val="00FF0A0A"/>
    <w:rsid w:val="00FF176F"/>
    <w:rsid w:val="00FF19FB"/>
    <w:rsid w:val="00FF30FD"/>
    <w:rsid w:val="00FF4DF3"/>
    <w:rsid w:val="00FF560A"/>
    <w:rsid w:val="00FF73C8"/>
    <w:rsid w:val="01113D6B"/>
    <w:rsid w:val="011D2710"/>
    <w:rsid w:val="013D5146"/>
    <w:rsid w:val="016C07DE"/>
    <w:rsid w:val="016F3451"/>
    <w:rsid w:val="01966BDB"/>
    <w:rsid w:val="01B5468B"/>
    <w:rsid w:val="01B61672"/>
    <w:rsid w:val="01DA2767"/>
    <w:rsid w:val="01E119B9"/>
    <w:rsid w:val="02054F52"/>
    <w:rsid w:val="02112A4F"/>
    <w:rsid w:val="021B4775"/>
    <w:rsid w:val="021F5023"/>
    <w:rsid w:val="02223D56"/>
    <w:rsid w:val="026179E7"/>
    <w:rsid w:val="0277488E"/>
    <w:rsid w:val="02946605"/>
    <w:rsid w:val="02AE79B5"/>
    <w:rsid w:val="02BE1C9A"/>
    <w:rsid w:val="02D432A2"/>
    <w:rsid w:val="02D74B40"/>
    <w:rsid w:val="02EA6538"/>
    <w:rsid w:val="02EB0A62"/>
    <w:rsid w:val="03240988"/>
    <w:rsid w:val="0340588E"/>
    <w:rsid w:val="03477CCA"/>
    <w:rsid w:val="0352449C"/>
    <w:rsid w:val="03634626"/>
    <w:rsid w:val="0388408C"/>
    <w:rsid w:val="039F15D1"/>
    <w:rsid w:val="03B86720"/>
    <w:rsid w:val="03BD5C4D"/>
    <w:rsid w:val="04151B70"/>
    <w:rsid w:val="043F0BEF"/>
    <w:rsid w:val="0448484A"/>
    <w:rsid w:val="04727FC9"/>
    <w:rsid w:val="04E2389B"/>
    <w:rsid w:val="050575AD"/>
    <w:rsid w:val="050D4849"/>
    <w:rsid w:val="053A06F6"/>
    <w:rsid w:val="05760640"/>
    <w:rsid w:val="058E653D"/>
    <w:rsid w:val="05AF61F9"/>
    <w:rsid w:val="05C01412"/>
    <w:rsid w:val="061A28A3"/>
    <w:rsid w:val="069444E3"/>
    <w:rsid w:val="06A8180F"/>
    <w:rsid w:val="06BB2083"/>
    <w:rsid w:val="06C669EC"/>
    <w:rsid w:val="06C84849"/>
    <w:rsid w:val="0700267F"/>
    <w:rsid w:val="07630750"/>
    <w:rsid w:val="07645416"/>
    <w:rsid w:val="07A70F85"/>
    <w:rsid w:val="07AD23DB"/>
    <w:rsid w:val="07C338E5"/>
    <w:rsid w:val="07D93108"/>
    <w:rsid w:val="07DA45E6"/>
    <w:rsid w:val="080B0594"/>
    <w:rsid w:val="08582729"/>
    <w:rsid w:val="086412D7"/>
    <w:rsid w:val="08811C5D"/>
    <w:rsid w:val="088C06CB"/>
    <w:rsid w:val="08B94541"/>
    <w:rsid w:val="08C66B4E"/>
    <w:rsid w:val="08ED6E6B"/>
    <w:rsid w:val="08F8736C"/>
    <w:rsid w:val="097537B2"/>
    <w:rsid w:val="099554A7"/>
    <w:rsid w:val="09A476B7"/>
    <w:rsid w:val="09A6701A"/>
    <w:rsid w:val="09CF1802"/>
    <w:rsid w:val="09E3399B"/>
    <w:rsid w:val="09F935EE"/>
    <w:rsid w:val="09FF12CD"/>
    <w:rsid w:val="0A2F1584"/>
    <w:rsid w:val="0A554F1E"/>
    <w:rsid w:val="0A68307C"/>
    <w:rsid w:val="0A870A48"/>
    <w:rsid w:val="0AB539B9"/>
    <w:rsid w:val="0AE778EA"/>
    <w:rsid w:val="0B0518C6"/>
    <w:rsid w:val="0B1370F7"/>
    <w:rsid w:val="0B3B46CD"/>
    <w:rsid w:val="0B5F01DA"/>
    <w:rsid w:val="0B7B7CBF"/>
    <w:rsid w:val="0B813629"/>
    <w:rsid w:val="0BE300B2"/>
    <w:rsid w:val="0BF67CF0"/>
    <w:rsid w:val="0C207E57"/>
    <w:rsid w:val="0C222AFB"/>
    <w:rsid w:val="0C300177"/>
    <w:rsid w:val="0C345D38"/>
    <w:rsid w:val="0C681B4B"/>
    <w:rsid w:val="0C7140F8"/>
    <w:rsid w:val="0C7D41B7"/>
    <w:rsid w:val="0C800B66"/>
    <w:rsid w:val="0CA760E1"/>
    <w:rsid w:val="0CE276D4"/>
    <w:rsid w:val="0CFC4715"/>
    <w:rsid w:val="0D074274"/>
    <w:rsid w:val="0D181FDD"/>
    <w:rsid w:val="0D1C426C"/>
    <w:rsid w:val="0D5326A8"/>
    <w:rsid w:val="0D7550C1"/>
    <w:rsid w:val="0DBD49E8"/>
    <w:rsid w:val="0DC932D7"/>
    <w:rsid w:val="0DD315EF"/>
    <w:rsid w:val="0DF078CB"/>
    <w:rsid w:val="0E2055ED"/>
    <w:rsid w:val="0E5E42B9"/>
    <w:rsid w:val="0E680D42"/>
    <w:rsid w:val="0E971B1D"/>
    <w:rsid w:val="0EEF26FE"/>
    <w:rsid w:val="0F4A2A64"/>
    <w:rsid w:val="0F70142D"/>
    <w:rsid w:val="0F984E9F"/>
    <w:rsid w:val="0FAB52AC"/>
    <w:rsid w:val="0FAC5479"/>
    <w:rsid w:val="0FB05E59"/>
    <w:rsid w:val="0FC55281"/>
    <w:rsid w:val="0FEB2B8B"/>
    <w:rsid w:val="10190546"/>
    <w:rsid w:val="10392996"/>
    <w:rsid w:val="1053332C"/>
    <w:rsid w:val="106D2640"/>
    <w:rsid w:val="10987B43"/>
    <w:rsid w:val="109A2931"/>
    <w:rsid w:val="10FE14EA"/>
    <w:rsid w:val="10FE773C"/>
    <w:rsid w:val="11021525"/>
    <w:rsid w:val="111B7E3D"/>
    <w:rsid w:val="111D48C2"/>
    <w:rsid w:val="112600F4"/>
    <w:rsid w:val="11445695"/>
    <w:rsid w:val="11A3638D"/>
    <w:rsid w:val="11B94934"/>
    <w:rsid w:val="1217304B"/>
    <w:rsid w:val="121D3BF2"/>
    <w:rsid w:val="122B7A0D"/>
    <w:rsid w:val="12470E78"/>
    <w:rsid w:val="128E71E1"/>
    <w:rsid w:val="129F387D"/>
    <w:rsid w:val="12E803CF"/>
    <w:rsid w:val="12F02676"/>
    <w:rsid w:val="130C43DC"/>
    <w:rsid w:val="132C4D41"/>
    <w:rsid w:val="1360433C"/>
    <w:rsid w:val="13604A62"/>
    <w:rsid w:val="13623FB2"/>
    <w:rsid w:val="137835EB"/>
    <w:rsid w:val="138003AE"/>
    <w:rsid w:val="13941FA0"/>
    <w:rsid w:val="13E42C19"/>
    <w:rsid w:val="142C4199"/>
    <w:rsid w:val="143F60A1"/>
    <w:rsid w:val="1478529F"/>
    <w:rsid w:val="149E6B72"/>
    <w:rsid w:val="14C12F5A"/>
    <w:rsid w:val="14C34F24"/>
    <w:rsid w:val="15080B89"/>
    <w:rsid w:val="151D63F7"/>
    <w:rsid w:val="151D7D9B"/>
    <w:rsid w:val="153F3112"/>
    <w:rsid w:val="15556CA7"/>
    <w:rsid w:val="157B1484"/>
    <w:rsid w:val="159A028F"/>
    <w:rsid w:val="15D22074"/>
    <w:rsid w:val="15D66375"/>
    <w:rsid w:val="15F32920"/>
    <w:rsid w:val="1684025D"/>
    <w:rsid w:val="168B455A"/>
    <w:rsid w:val="16EA4013"/>
    <w:rsid w:val="16F07C7F"/>
    <w:rsid w:val="16F97FA5"/>
    <w:rsid w:val="16FE0496"/>
    <w:rsid w:val="17520091"/>
    <w:rsid w:val="17AA4179"/>
    <w:rsid w:val="17B6195E"/>
    <w:rsid w:val="17BF71A9"/>
    <w:rsid w:val="17F02CDB"/>
    <w:rsid w:val="18047D2E"/>
    <w:rsid w:val="181528EB"/>
    <w:rsid w:val="182B3789"/>
    <w:rsid w:val="1862318A"/>
    <w:rsid w:val="186749D5"/>
    <w:rsid w:val="18C4126B"/>
    <w:rsid w:val="18D314AE"/>
    <w:rsid w:val="18DA45EA"/>
    <w:rsid w:val="1923702B"/>
    <w:rsid w:val="193C52A5"/>
    <w:rsid w:val="193F306E"/>
    <w:rsid w:val="193F5C3A"/>
    <w:rsid w:val="19577267"/>
    <w:rsid w:val="195B397D"/>
    <w:rsid w:val="19645718"/>
    <w:rsid w:val="19771E76"/>
    <w:rsid w:val="197F707D"/>
    <w:rsid w:val="19921369"/>
    <w:rsid w:val="199D78AA"/>
    <w:rsid w:val="19CE77EC"/>
    <w:rsid w:val="1A1324AA"/>
    <w:rsid w:val="1A1E2D8D"/>
    <w:rsid w:val="1A430574"/>
    <w:rsid w:val="1A5E188C"/>
    <w:rsid w:val="1AAB5341"/>
    <w:rsid w:val="1AC372C9"/>
    <w:rsid w:val="1AD979BB"/>
    <w:rsid w:val="1AEC6857"/>
    <w:rsid w:val="1B1464DA"/>
    <w:rsid w:val="1B2858BF"/>
    <w:rsid w:val="1B822B0B"/>
    <w:rsid w:val="1B941488"/>
    <w:rsid w:val="1BB824F2"/>
    <w:rsid w:val="1BC4497D"/>
    <w:rsid w:val="1BE016F6"/>
    <w:rsid w:val="1BE340FE"/>
    <w:rsid w:val="1BED74B3"/>
    <w:rsid w:val="1BEE0D28"/>
    <w:rsid w:val="1C9B0535"/>
    <w:rsid w:val="1CB07CE8"/>
    <w:rsid w:val="1CB8043C"/>
    <w:rsid w:val="1CBC0BD7"/>
    <w:rsid w:val="1CE232E4"/>
    <w:rsid w:val="1D9B42A3"/>
    <w:rsid w:val="1DA11B7B"/>
    <w:rsid w:val="1DAF4298"/>
    <w:rsid w:val="1DE60CEF"/>
    <w:rsid w:val="1E51534F"/>
    <w:rsid w:val="1E615824"/>
    <w:rsid w:val="1E786D7F"/>
    <w:rsid w:val="1E94348E"/>
    <w:rsid w:val="1EDF5240"/>
    <w:rsid w:val="1F0A1575"/>
    <w:rsid w:val="1F2658C0"/>
    <w:rsid w:val="1F4153C3"/>
    <w:rsid w:val="1F82454D"/>
    <w:rsid w:val="1F974FE3"/>
    <w:rsid w:val="1FCF33BD"/>
    <w:rsid w:val="1FEB3581"/>
    <w:rsid w:val="1FFA3FC7"/>
    <w:rsid w:val="1FFB21D9"/>
    <w:rsid w:val="20653333"/>
    <w:rsid w:val="20711637"/>
    <w:rsid w:val="209268D9"/>
    <w:rsid w:val="20D44015"/>
    <w:rsid w:val="20D83B05"/>
    <w:rsid w:val="212E5253"/>
    <w:rsid w:val="213C39E5"/>
    <w:rsid w:val="213C462B"/>
    <w:rsid w:val="21D35CA0"/>
    <w:rsid w:val="21ED1832"/>
    <w:rsid w:val="220426D8"/>
    <w:rsid w:val="221E7686"/>
    <w:rsid w:val="2241392C"/>
    <w:rsid w:val="226B2757"/>
    <w:rsid w:val="22704CCB"/>
    <w:rsid w:val="229A6DE3"/>
    <w:rsid w:val="22A55C69"/>
    <w:rsid w:val="22DF4807"/>
    <w:rsid w:val="22E20377"/>
    <w:rsid w:val="22F27169"/>
    <w:rsid w:val="22FA4207"/>
    <w:rsid w:val="2317117F"/>
    <w:rsid w:val="232F1805"/>
    <w:rsid w:val="233C4682"/>
    <w:rsid w:val="23B256F6"/>
    <w:rsid w:val="23DF5284"/>
    <w:rsid w:val="23F45941"/>
    <w:rsid w:val="24062738"/>
    <w:rsid w:val="24150C39"/>
    <w:rsid w:val="244E655C"/>
    <w:rsid w:val="247D50F0"/>
    <w:rsid w:val="24B0447A"/>
    <w:rsid w:val="24C04FDC"/>
    <w:rsid w:val="25190ED6"/>
    <w:rsid w:val="253F23A5"/>
    <w:rsid w:val="25407ECB"/>
    <w:rsid w:val="25752A90"/>
    <w:rsid w:val="257B72D7"/>
    <w:rsid w:val="25D35209"/>
    <w:rsid w:val="260F755A"/>
    <w:rsid w:val="263B0329"/>
    <w:rsid w:val="267D4F0E"/>
    <w:rsid w:val="26953FAF"/>
    <w:rsid w:val="26B375FC"/>
    <w:rsid w:val="26DE22D2"/>
    <w:rsid w:val="2707014E"/>
    <w:rsid w:val="27237926"/>
    <w:rsid w:val="272F397A"/>
    <w:rsid w:val="279B3ADF"/>
    <w:rsid w:val="27A864F6"/>
    <w:rsid w:val="27D266C4"/>
    <w:rsid w:val="28056957"/>
    <w:rsid w:val="28243416"/>
    <w:rsid w:val="28301B6D"/>
    <w:rsid w:val="28821945"/>
    <w:rsid w:val="28E80BC5"/>
    <w:rsid w:val="2903193C"/>
    <w:rsid w:val="29363ABF"/>
    <w:rsid w:val="293B6832"/>
    <w:rsid w:val="2943523A"/>
    <w:rsid w:val="294F3F46"/>
    <w:rsid w:val="29806C4A"/>
    <w:rsid w:val="29916F47"/>
    <w:rsid w:val="29A728EB"/>
    <w:rsid w:val="29B9024C"/>
    <w:rsid w:val="29BD6C3E"/>
    <w:rsid w:val="29CC4423"/>
    <w:rsid w:val="29E2020C"/>
    <w:rsid w:val="29EF6110"/>
    <w:rsid w:val="2A1B05A5"/>
    <w:rsid w:val="2A225DF1"/>
    <w:rsid w:val="2A3E3CA8"/>
    <w:rsid w:val="2A451EEF"/>
    <w:rsid w:val="2A4D5647"/>
    <w:rsid w:val="2A573CED"/>
    <w:rsid w:val="2A950CB9"/>
    <w:rsid w:val="2AFA0E11"/>
    <w:rsid w:val="2B161D13"/>
    <w:rsid w:val="2B4640E1"/>
    <w:rsid w:val="2B4A3852"/>
    <w:rsid w:val="2B5F053C"/>
    <w:rsid w:val="2B9117FD"/>
    <w:rsid w:val="2BD35BDA"/>
    <w:rsid w:val="2C272238"/>
    <w:rsid w:val="2C897094"/>
    <w:rsid w:val="2CBB03AC"/>
    <w:rsid w:val="2D354529"/>
    <w:rsid w:val="2D522E91"/>
    <w:rsid w:val="2D7A68C1"/>
    <w:rsid w:val="2D801ED4"/>
    <w:rsid w:val="2D8E2AEC"/>
    <w:rsid w:val="2D92536B"/>
    <w:rsid w:val="2D9502B1"/>
    <w:rsid w:val="2D9C5EBB"/>
    <w:rsid w:val="2DC30F4E"/>
    <w:rsid w:val="2E0427ED"/>
    <w:rsid w:val="2E2A34C6"/>
    <w:rsid w:val="2E2D41EF"/>
    <w:rsid w:val="2E461AF0"/>
    <w:rsid w:val="2E770C20"/>
    <w:rsid w:val="2E8C630C"/>
    <w:rsid w:val="2EA85A27"/>
    <w:rsid w:val="2EB716C4"/>
    <w:rsid w:val="2EC54E6C"/>
    <w:rsid w:val="2F040C6A"/>
    <w:rsid w:val="2F320588"/>
    <w:rsid w:val="2F503401"/>
    <w:rsid w:val="2F561DD8"/>
    <w:rsid w:val="2F77273B"/>
    <w:rsid w:val="2F863E6C"/>
    <w:rsid w:val="2FAB7962"/>
    <w:rsid w:val="2FC30122"/>
    <w:rsid w:val="2FC31E61"/>
    <w:rsid w:val="2FCC27F9"/>
    <w:rsid w:val="2FEC3129"/>
    <w:rsid w:val="2FF57930"/>
    <w:rsid w:val="2FFC28A0"/>
    <w:rsid w:val="30055365"/>
    <w:rsid w:val="3007375F"/>
    <w:rsid w:val="30100A1B"/>
    <w:rsid w:val="301C0C5B"/>
    <w:rsid w:val="30706E2A"/>
    <w:rsid w:val="30772E97"/>
    <w:rsid w:val="30DC63F1"/>
    <w:rsid w:val="31172428"/>
    <w:rsid w:val="311E6318"/>
    <w:rsid w:val="31300B1D"/>
    <w:rsid w:val="31352775"/>
    <w:rsid w:val="31442A63"/>
    <w:rsid w:val="317E1E0C"/>
    <w:rsid w:val="31A04122"/>
    <w:rsid w:val="31AA5C3B"/>
    <w:rsid w:val="31B82D10"/>
    <w:rsid w:val="31CB6336"/>
    <w:rsid w:val="31DC3802"/>
    <w:rsid w:val="3203611D"/>
    <w:rsid w:val="323E68B3"/>
    <w:rsid w:val="32464EE8"/>
    <w:rsid w:val="326E4BBD"/>
    <w:rsid w:val="32814077"/>
    <w:rsid w:val="32840DB4"/>
    <w:rsid w:val="32982B4C"/>
    <w:rsid w:val="32997386"/>
    <w:rsid w:val="329D2099"/>
    <w:rsid w:val="32CB171C"/>
    <w:rsid w:val="32DE247C"/>
    <w:rsid w:val="32E04089"/>
    <w:rsid w:val="32FA549C"/>
    <w:rsid w:val="33356B95"/>
    <w:rsid w:val="335231F2"/>
    <w:rsid w:val="3354397B"/>
    <w:rsid w:val="33546237"/>
    <w:rsid w:val="335A2F08"/>
    <w:rsid w:val="33741562"/>
    <w:rsid w:val="337674A7"/>
    <w:rsid w:val="338C7C6B"/>
    <w:rsid w:val="33EF4F96"/>
    <w:rsid w:val="33F702EF"/>
    <w:rsid w:val="341613A3"/>
    <w:rsid w:val="34233001"/>
    <w:rsid w:val="342F0CB3"/>
    <w:rsid w:val="343120EB"/>
    <w:rsid w:val="34A413CB"/>
    <w:rsid w:val="34AB657C"/>
    <w:rsid w:val="34C14BF9"/>
    <w:rsid w:val="34E43DA3"/>
    <w:rsid w:val="34E82E48"/>
    <w:rsid w:val="350B22A4"/>
    <w:rsid w:val="35206F5F"/>
    <w:rsid w:val="35266817"/>
    <w:rsid w:val="357F2C4C"/>
    <w:rsid w:val="365E1D0B"/>
    <w:rsid w:val="365E27EA"/>
    <w:rsid w:val="36636190"/>
    <w:rsid w:val="36820344"/>
    <w:rsid w:val="36944ACF"/>
    <w:rsid w:val="36A75FFC"/>
    <w:rsid w:val="36BB0D7A"/>
    <w:rsid w:val="36BD4313"/>
    <w:rsid w:val="36F85394"/>
    <w:rsid w:val="373C392F"/>
    <w:rsid w:val="3744384B"/>
    <w:rsid w:val="37485EF7"/>
    <w:rsid w:val="374D0724"/>
    <w:rsid w:val="3751109F"/>
    <w:rsid w:val="376B0159"/>
    <w:rsid w:val="376B0DD8"/>
    <w:rsid w:val="3782055B"/>
    <w:rsid w:val="378C5E3A"/>
    <w:rsid w:val="37C9064A"/>
    <w:rsid w:val="37FB0978"/>
    <w:rsid w:val="38015BA2"/>
    <w:rsid w:val="381F5E4C"/>
    <w:rsid w:val="38397128"/>
    <w:rsid w:val="38942141"/>
    <w:rsid w:val="38AA4085"/>
    <w:rsid w:val="38AB3B6F"/>
    <w:rsid w:val="38C764E2"/>
    <w:rsid w:val="38DF05FE"/>
    <w:rsid w:val="39013028"/>
    <w:rsid w:val="39067B9E"/>
    <w:rsid w:val="39430D5C"/>
    <w:rsid w:val="3949478F"/>
    <w:rsid w:val="394D53EB"/>
    <w:rsid w:val="395F671A"/>
    <w:rsid w:val="396A27EF"/>
    <w:rsid w:val="396B0B87"/>
    <w:rsid w:val="396B4A2F"/>
    <w:rsid w:val="397F1D78"/>
    <w:rsid w:val="398615C6"/>
    <w:rsid w:val="398B7B35"/>
    <w:rsid w:val="39B51EB6"/>
    <w:rsid w:val="39BE350B"/>
    <w:rsid w:val="3A211B1F"/>
    <w:rsid w:val="3A2B5663"/>
    <w:rsid w:val="3A56181A"/>
    <w:rsid w:val="3A5C40D6"/>
    <w:rsid w:val="3ABB7A64"/>
    <w:rsid w:val="3AE33CB9"/>
    <w:rsid w:val="3AEF7F72"/>
    <w:rsid w:val="3AF60F31"/>
    <w:rsid w:val="3B47390A"/>
    <w:rsid w:val="3B5C7664"/>
    <w:rsid w:val="3B7129BA"/>
    <w:rsid w:val="3BC3601C"/>
    <w:rsid w:val="3BE4448C"/>
    <w:rsid w:val="3BFC2946"/>
    <w:rsid w:val="3C3F2833"/>
    <w:rsid w:val="3C4A342B"/>
    <w:rsid w:val="3C5C22C7"/>
    <w:rsid w:val="3C6E5853"/>
    <w:rsid w:val="3CAF408F"/>
    <w:rsid w:val="3CD369F2"/>
    <w:rsid w:val="3CE51D7C"/>
    <w:rsid w:val="3CF35874"/>
    <w:rsid w:val="3D50705B"/>
    <w:rsid w:val="3D5B12D7"/>
    <w:rsid w:val="3D78424E"/>
    <w:rsid w:val="3D7B3D3F"/>
    <w:rsid w:val="3D820C29"/>
    <w:rsid w:val="3DDD59F6"/>
    <w:rsid w:val="3DEE6D74"/>
    <w:rsid w:val="3DF0768F"/>
    <w:rsid w:val="3E3F7B80"/>
    <w:rsid w:val="3E7C38CA"/>
    <w:rsid w:val="3EAD43CC"/>
    <w:rsid w:val="3EE002FD"/>
    <w:rsid w:val="3F1F2DB0"/>
    <w:rsid w:val="3F272100"/>
    <w:rsid w:val="3F75686A"/>
    <w:rsid w:val="401D2E8B"/>
    <w:rsid w:val="40517064"/>
    <w:rsid w:val="40792980"/>
    <w:rsid w:val="40C076A7"/>
    <w:rsid w:val="412C362E"/>
    <w:rsid w:val="413C5689"/>
    <w:rsid w:val="414803DC"/>
    <w:rsid w:val="416371E7"/>
    <w:rsid w:val="416C40CA"/>
    <w:rsid w:val="41913B83"/>
    <w:rsid w:val="4197211B"/>
    <w:rsid w:val="41BA1AB0"/>
    <w:rsid w:val="421E1DE7"/>
    <w:rsid w:val="4255690C"/>
    <w:rsid w:val="4269398F"/>
    <w:rsid w:val="429068A3"/>
    <w:rsid w:val="433301C0"/>
    <w:rsid w:val="433C707E"/>
    <w:rsid w:val="435B61A4"/>
    <w:rsid w:val="43883B3F"/>
    <w:rsid w:val="4396610F"/>
    <w:rsid w:val="44000AFA"/>
    <w:rsid w:val="44071904"/>
    <w:rsid w:val="44227CF5"/>
    <w:rsid w:val="44DF2E05"/>
    <w:rsid w:val="44EC05B9"/>
    <w:rsid w:val="44F00723"/>
    <w:rsid w:val="454E3BF8"/>
    <w:rsid w:val="457C4E64"/>
    <w:rsid w:val="459D4619"/>
    <w:rsid w:val="45CD1109"/>
    <w:rsid w:val="45D71D2E"/>
    <w:rsid w:val="45E16709"/>
    <w:rsid w:val="4646138E"/>
    <w:rsid w:val="4647099F"/>
    <w:rsid w:val="46503FBA"/>
    <w:rsid w:val="465A2A97"/>
    <w:rsid w:val="46652DBA"/>
    <w:rsid w:val="469C638D"/>
    <w:rsid w:val="46F13959"/>
    <w:rsid w:val="47290367"/>
    <w:rsid w:val="47415F8E"/>
    <w:rsid w:val="478B587E"/>
    <w:rsid w:val="4795611E"/>
    <w:rsid w:val="47A77C21"/>
    <w:rsid w:val="47B308CA"/>
    <w:rsid w:val="47C02A7A"/>
    <w:rsid w:val="48491AE0"/>
    <w:rsid w:val="48560E81"/>
    <w:rsid w:val="48A623B4"/>
    <w:rsid w:val="48B94A25"/>
    <w:rsid w:val="48D72771"/>
    <w:rsid w:val="490F0309"/>
    <w:rsid w:val="4914106A"/>
    <w:rsid w:val="4919282A"/>
    <w:rsid w:val="49407363"/>
    <w:rsid w:val="494121B6"/>
    <w:rsid w:val="495F2766"/>
    <w:rsid w:val="49706E5A"/>
    <w:rsid w:val="497B5225"/>
    <w:rsid w:val="49A9029D"/>
    <w:rsid w:val="49AB0158"/>
    <w:rsid w:val="49DC55CC"/>
    <w:rsid w:val="4A4C3297"/>
    <w:rsid w:val="4A7F4E6E"/>
    <w:rsid w:val="4A877B80"/>
    <w:rsid w:val="4AAC4894"/>
    <w:rsid w:val="4AB76D1F"/>
    <w:rsid w:val="4AC22FAD"/>
    <w:rsid w:val="4AC47FC3"/>
    <w:rsid w:val="4AF67DF8"/>
    <w:rsid w:val="4B0A086A"/>
    <w:rsid w:val="4B3A2B43"/>
    <w:rsid w:val="4B3D4A73"/>
    <w:rsid w:val="4B4553A2"/>
    <w:rsid w:val="4B636AF4"/>
    <w:rsid w:val="4B9A12BD"/>
    <w:rsid w:val="4BEB60E5"/>
    <w:rsid w:val="4BFB6776"/>
    <w:rsid w:val="4C014B70"/>
    <w:rsid w:val="4C264171"/>
    <w:rsid w:val="4C561BFF"/>
    <w:rsid w:val="4C5B6E36"/>
    <w:rsid w:val="4C6E4F59"/>
    <w:rsid w:val="4C70391E"/>
    <w:rsid w:val="4D1711B6"/>
    <w:rsid w:val="4D346B44"/>
    <w:rsid w:val="4D464DB0"/>
    <w:rsid w:val="4D70710D"/>
    <w:rsid w:val="4D9D385D"/>
    <w:rsid w:val="4D9F08E4"/>
    <w:rsid w:val="4DAF62DC"/>
    <w:rsid w:val="4DDE60AA"/>
    <w:rsid w:val="4E207971"/>
    <w:rsid w:val="4E271904"/>
    <w:rsid w:val="4E57769B"/>
    <w:rsid w:val="4E7D3277"/>
    <w:rsid w:val="4E94519B"/>
    <w:rsid w:val="4EA84A57"/>
    <w:rsid w:val="4ED4303F"/>
    <w:rsid w:val="4EFE39EB"/>
    <w:rsid w:val="4F4B17C3"/>
    <w:rsid w:val="4F4D42B7"/>
    <w:rsid w:val="4F537EE5"/>
    <w:rsid w:val="4F636A41"/>
    <w:rsid w:val="4F6507F6"/>
    <w:rsid w:val="4F705BB8"/>
    <w:rsid w:val="4F950C90"/>
    <w:rsid w:val="4FAD625B"/>
    <w:rsid w:val="500968FC"/>
    <w:rsid w:val="504D7B0F"/>
    <w:rsid w:val="50E90A82"/>
    <w:rsid w:val="50FC6799"/>
    <w:rsid w:val="51033699"/>
    <w:rsid w:val="5108792A"/>
    <w:rsid w:val="512A00B4"/>
    <w:rsid w:val="514A6B3D"/>
    <w:rsid w:val="516B0B89"/>
    <w:rsid w:val="517C4021"/>
    <w:rsid w:val="51AE7DE7"/>
    <w:rsid w:val="51C94C21"/>
    <w:rsid w:val="51D325B7"/>
    <w:rsid w:val="51EA61C3"/>
    <w:rsid w:val="52031BC4"/>
    <w:rsid w:val="520602FF"/>
    <w:rsid w:val="520B4CA5"/>
    <w:rsid w:val="520F2A94"/>
    <w:rsid w:val="52370177"/>
    <w:rsid w:val="523F1387"/>
    <w:rsid w:val="524D751A"/>
    <w:rsid w:val="525F79C8"/>
    <w:rsid w:val="527575E0"/>
    <w:rsid w:val="52D41ACF"/>
    <w:rsid w:val="53301412"/>
    <w:rsid w:val="534964FB"/>
    <w:rsid w:val="5354478F"/>
    <w:rsid w:val="53691D68"/>
    <w:rsid w:val="5373753A"/>
    <w:rsid w:val="53AE6A47"/>
    <w:rsid w:val="53DD0E57"/>
    <w:rsid w:val="540C6053"/>
    <w:rsid w:val="54597100"/>
    <w:rsid w:val="54667296"/>
    <w:rsid w:val="546E7D01"/>
    <w:rsid w:val="54937572"/>
    <w:rsid w:val="54C36822"/>
    <w:rsid w:val="54D70E47"/>
    <w:rsid w:val="54D837BC"/>
    <w:rsid w:val="54D9161F"/>
    <w:rsid w:val="54D933CD"/>
    <w:rsid w:val="55261E66"/>
    <w:rsid w:val="55393E6B"/>
    <w:rsid w:val="554B0D83"/>
    <w:rsid w:val="55516370"/>
    <w:rsid w:val="556F1F83"/>
    <w:rsid w:val="558D27E9"/>
    <w:rsid w:val="55A214A4"/>
    <w:rsid w:val="55A45300"/>
    <w:rsid w:val="55A90650"/>
    <w:rsid w:val="55C306B7"/>
    <w:rsid w:val="55C53951"/>
    <w:rsid w:val="55CB04E0"/>
    <w:rsid w:val="55CE6CAA"/>
    <w:rsid w:val="55E22755"/>
    <w:rsid w:val="55EE27B8"/>
    <w:rsid w:val="56010E2D"/>
    <w:rsid w:val="561A1EEF"/>
    <w:rsid w:val="564229F4"/>
    <w:rsid w:val="567E093A"/>
    <w:rsid w:val="56936903"/>
    <w:rsid w:val="56A144C0"/>
    <w:rsid w:val="56A55174"/>
    <w:rsid w:val="5703357A"/>
    <w:rsid w:val="57677165"/>
    <w:rsid w:val="5778226D"/>
    <w:rsid w:val="57811AFA"/>
    <w:rsid w:val="578850C5"/>
    <w:rsid w:val="57971835"/>
    <w:rsid w:val="57BB4461"/>
    <w:rsid w:val="58486C08"/>
    <w:rsid w:val="58495136"/>
    <w:rsid w:val="585B7F14"/>
    <w:rsid w:val="586D0078"/>
    <w:rsid w:val="58773629"/>
    <w:rsid w:val="5877718F"/>
    <w:rsid w:val="58893F47"/>
    <w:rsid w:val="58B303D9"/>
    <w:rsid w:val="58CD0998"/>
    <w:rsid w:val="590D3136"/>
    <w:rsid w:val="5924744C"/>
    <w:rsid w:val="59266DFD"/>
    <w:rsid w:val="593B3F3D"/>
    <w:rsid w:val="59422965"/>
    <w:rsid w:val="594B0611"/>
    <w:rsid w:val="59561490"/>
    <w:rsid w:val="59570D64"/>
    <w:rsid w:val="59707AE9"/>
    <w:rsid w:val="5986392D"/>
    <w:rsid w:val="59A018B8"/>
    <w:rsid w:val="59A3044D"/>
    <w:rsid w:val="59BD3A9E"/>
    <w:rsid w:val="59CE6E20"/>
    <w:rsid w:val="59E168F5"/>
    <w:rsid w:val="59F73835"/>
    <w:rsid w:val="5A245138"/>
    <w:rsid w:val="5A5A352A"/>
    <w:rsid w:val="5A984730"/>
    <w:rsid w:val="5B12038C"/>
    <w:rsid w:val="5B891745"/>
    <w:rsid w:val="5B98782B"/>
    <w:rsid w:val="5BA009E2"/>
    <w:rsid w:val="5BA97DCC"/>
    <w:rsid w:val="5BBC0C0D"/>
    <w:rsid w:val="5BC87EE3"/>
    <w:rsid w:val="5BF3746A"/>
    <w:rsid w:val="5C46434F"/>
    <w:rsid w:val="5C740819"/>
    <w:rsid w:val="5C89230F"/>
    <w:rsid w:val="5CDA5EDA"/>
    <w:rsid w:val="5CE50BB5"/>
    <w:rsid w:val="5CEA7BA6"/>
    <w:rsid w:val="5D370B70"/>
    <w:rsid w:val="5D495260"/>
    <w:rsid w:val="5D6A39E6"/>
    <w:rsid w:val="5D6F0F37"/>
    <w:rsid w:val="5D775E79"/>
    <w:rsid w:val="5D9E3ADD"/>
    <w:rsid w:val="5DBF3FC7"/>
    <w:rsid w:val="5DEC4043"/>
    <w:rsid w:val="5DF64FF0"/>
    <w:rsid w:val="5E014EC6"/>
    <w:rsid w:val="5E174F66"/>
    <w:rsid w:val="5E3B42E9"/>
    <w:rsid w:val="5E4366BB"/>
    <w:rsid w:val="5E7920B1"/>
    <w:rsid w:val="5E7D695E"/>
    <w:rsid w:val="5E873F6F"/>
    <w:rsid w:val="5E912F6A"/>
    <w:rsid w:val="5E9F4AD9"/>
    <w:rsid w:val="5EAB1104"/>
    <w:rsid w:val="5F0F5BDB"/>
    <w:rsid w:val="5F1A621F"/>
    <w:rsid w:val="5F4C6AC1"/>
    <w:rsid w:val="5F6E211F"/>
    <w:rsid w:val="5F8D1984"/>
    <w:rsid w:val="5FA242AA"/>
    <w:rsid w:val="5FBD4D22"/>
    <w:rsid w:val="5FBE2DB8"/>
    <w:rsid w:val="5FF15D38"/>
    <w:rsid w:val="5FF90DC7"/>
    <w:rsid w:val="600153AE"/>
    <w:rsid w:val="60067040"/>
    <w:rsid w:val="602167A9"/>
    <w:rsid w:val="60316A0C"/>
    <w:rsid w:val="60690354"/>
    <w:rsid w:val="60932FCA"/>
    <w:rsid w:val="609A7F9A"/>
    <w:rsid w:val="60B3541A"/>
    <w:rsid w:val="60B5438B"/>
    <w:rsid w:val="60B87FF3"/>
    <w:rsid w:val="60E85B7C"/>
    <w:rsid w:val="61043E38"/>
    <w:rsid w:val="61056711"/>
    <w:rsid w:val="610F0176"/>
    <w:rsid w:val="61372386"/>
    <w:rsid w:val="6183303E"/>
    <w:rsid w:val="61DB03C2"/>
    <w:rsid w:val="61EB07D9"/>
    <w:rsid w:val="6204509B"/>
    <w:rsid w:val="622F1400"/>
    <w:rsid w:val="62542820"/>
    <w:rsid w:val="62913539"/>
    <w:rsid w:val="62DE4F2C"/>
    <w:rsid w:val="6318039A"/>
    <w:rsid w:val="632443AD"/>
    <w:rsid w:val="6376156F"/>
    <w:rsid w:val="63A943A4"/>
    <w:rsid w:val="63D6481B"/>
    <w:rsid w:val="63E5460A"/>
    <w:rsid w:val="641469D1"/>
    <w:rsid w:val="642259B0"/>
    <w:rsid w:val="642B11B3"/>
    <w:rsid w:val="642C6FB9"/>
    <w:rsid w:val="643A7299"/>
    <w:rsid w:val="64410F8F"/>
    <w:rsid w:val="644710B5"/>
    <w:rsid w:val="645E37D8"/>
    <w:rsid w:val="648669A1"/>
    <w:rsid w:val="64886906"/>
    <w:rsid w:val="650E2AD9"/>
    <w:rsid w:val="655B73BE"/>
    <w:rsid w:val="65692E3C"/>
    <w:rsid w:val="656B121C"/>
    <w:rsid w:val="65D5313D"/>
    <w:rsid w:val="65E47E6A"/>
    <w:rsid w:val="6603529D"/>
    <w:rsid w:val="660917D8"/>
    <w:rsid w:val="666A0722"/>
    <w:rsid w:val="669A5CBE"/>
    <w:rsid w:val="66A52A38"/>
    <w:rsid w:val="66A650D9"/>
    <w:rsid w:val="66B9563A"/>
    <w:rsid w:val="674D4C73"/>
    <w:rsid w:val="67584625"/>
    <w:rsid w:val="6780612A"/>
    <w:rsid w:val="679B617A"/>
    <w:rsid w:val="67D7709B"/>
    <w:rsid w:val="67DD2D7C"/>
    <w:rsid w:val="67F87BB6"/>
    <w:rsid w:val="68025084"/>
    <w:rsid w:val="68187257"/>
    <w:rsid w:val="684A5313"/>
    <w:rsid w:val="686714E8"/>
    <w:rsid w:val="68696273"/>
    <w:rsid w:val="68B0093B"/>
    <w:rsid w:val="68DE3972"/>
    <w:rsid w:val="68EA471E"/>
    <w:rsid w:val="690802CD"/>
    <w:rsid w:val="692C634B"/>
    <w:rsid w:val="692E47BD"/>
    <w:rsid w:val="696217F4"/>
    <w:rsid w:val="698C028A"/>
    <w:rsid w:val="69CC12FA"/>
    <w:rsid w:val="69DC55A4"/>
    <w:rsid w:val="69EA4F74"/>
    <w:rsid w:val="69ED63B6"/>
    <w:rsid w:val="6A3A3B0B"/>
    <w:rsid w:val="6A484E25"/>
    <w:rsid w:val="6A4E2237"/>
    <w:rsid w:val="6A627AE8"/>
    <w:rsid w:val="6A74189B"/>
    <w:rsid w:val="6A763E75"/>
    <w:rsid w:val="6A9040D6"/>
    <w:rsid w:val="6AA11820"/>
    <w:rsid w:val="6AA17276"/>
    <w:rsid w:val="6ABE6E95"/>
    <w:rsid w:val="6AFA1A7F"/>
    <w:rsid w:val="6B177ACA"/>
    <w:rsid w:val="6B80414A"/>
    <w:rsid w:val="6B9B7EAB"/>
    <w:rsid w:val="6B9F06EA"/>
    <w:rsid w:val="6BCB0E92"/>
    <w:rsid w:val="6BDA7CFF"/>
    <w:rsid w:val="6C1F1BB5"/>
    <w:rsid w:val="6C3F2A09"/>
    <w:rsid w:val="6C947E73"/>
    <w:rsid w:val="6CB8022D"/>
    <w:rsid w:val="6CC72677"/>
    <w:rsid w:val="6CE35E77"/>
    <w:rsid w:val="6D0209BB"/>
    <w:rsid w:val="6D3D75D5"/>
    <w:rsid w:val="6D3E250F"/>
    <w:rsid w:val="6D470800"/>
    <w:rsid w:val="6D4A2C62"/>
    <w:rsid w:val="6D4E0FF6"/>
    <w:rsid w:val="6D6331BA"/>
    <w:rsid w:val="6DAB1554"/>
    <w:rsid w:val="6DF90E44"/>
    <w:rsid w:val="6E1F50EF"/>
    <w:rsid w:val="6E22419A"/>
    <w:rsid w:val="6E4C1B61"/>
    <w:rsid w:val="6E5371F5"/>
    <w:rsid w:val="6E543C6F"/>
    <w:rsid w:val="6E895431"/>
    <w:rsid w:val="6E8C7177"/>
    <w:rsid w:val="6EAA7E8C"/>
    <w:rsid w:val="6EBB183C"/>
    <w:rsid w:val="6EC72090"/>
    <w:rsid w:val="6EC77565"/>
    <w:rsid w:val="6ECA451E"/>
    <w:rsid w:val="6EE60768"/>
    <w:rsid w:val="6EF9571E"/>
    <w:rsid w:val="6F101B9F"/>
    <w:rsid w:val="6F2A0BC0"/>
    <w:rsid w:val="6F3A651A"/>
    <w:rsid w:val="6F422C34"/>
    <w:rsid w:val="6F7B2B58"/>
    <w:rsid w:val="6FAD1286"/>
    <w:rsid w:val="6FB537A9"/>
    <w:rsid w:val="6FE7407B"/>
    <w:rsid w:val="6FFB0243"/>
    <w:rsid w:val="70136C9F"/>
    <w:rsid w:val="705A5026"/>
    <w:rsid w:val="708460A5"/>
    <w:rsid w:val="70A1122F"/>
    <w:rsid w:val="70AA0623"/>
    <w:rsid w:val="70AE3508"/>
    <w:rsid w:val="70CD6084"/>
    <w:rsid w:val="70D2369A"/>
    <w:rsid w:val="70D50211"/>
    <w:rsid w:val="70D50A94"/>
    <w:rsid w:val="70EE1C2A"/>
    <w:rsid w:val="71274553"/>
    <w:rsid w:val="71775378"/>
    <w:rsid w:val="719426FE"/>
    <w:rsid w:val="71A31C07"/>
    <w:rsid w:val="71A41A83"/>
    <w:rsid w:val="71CB1E97"/>
    <w:rsid w:val="71DE3940"/>
    <w:rsid w:val="725F20ED"/>
    <w:rsid w:val="727748B4"/>
    <w:rsid w:val="728A4CFA"/>
    <w:rsid w:val="731C5F6F"/>
    <w:rsid w:val="739840F0"/>
    <w:rsid w:val="73B47F68"/>
    <w:rsid w:val="73C0671E"/>
    <w:rsid w:val="73D829C4"/>
    <w:rsid w:val="73FB2F08"/>
    <w:rsid w:val="746F7452"/>
    <w:rsid w:val="749F4FD7"/>
    <w:rsid w:val="74AF26B4"/>
    <w:rsid w:val="750B3C47"/>
    <w:rsid w:val="75720FA8"/>
    <w:rsid w:val="75803113"/>
    <w:rsid w:val="7590039E"/>
    <w:rsid w:val="75CB41D6"/>
    <w:rsid w:val="75E06C10"/>
    <w:rsid w:val="75E261F3"/>
    <w:rsid w:val="7606203C"/>
    <w:rsid w:val="76532430"/>
    <w:rsid w:val="76811CEA"/>
    <w:rsid w:val="76870A5C"/>
    <w:rsid w:val="7691391B"/>
    <w:rsid w:val="769D5AAB"/>
    <w:rsid w:val="76A52DF0"/>
    <w:rsid w:val="772207AC"/>
    <w:rsid w:val="77277361"/>
    <w:rsid w:val="77297FB4"/>
    <w:rsid w:val="77406AD3"/>
    <w:rsid w:val="77516125"/>
    <w:rsid w:val="775F6B3D"/>
    <w:rsid w:val="777A4EF3"/>
    <w:rsid w:val="777D1E86"/>
    <w:rsid w:val="77DA4BE2"/>
    <w:rsid w:val="77EC43D7"/>
    <w:rsid w:val="78124F57"/>
    <w:rsid w:val="7828155F"/>
    <w:rsid w:val="782E59F7"/>
    <w:rsid w:val="78585F9B"/>
    <w:rsid w:val="78770683"/>
    <w:rsid w:val="788D434B"/>
    <w:rsid w:val="78E5725F"/>
    <w:rsid w:val="78F95236"/>
    <w:rsid w:val="790031C8"/>
    <w:rsid w:val="791E3D2A"/>
    <w:rsid w:val="796C38D4"/>
    <w:rsid w:val="799D71A7"/>
    <w:rsid w:val="79ED7DD0"/>
    <w:rsid w:val="7A25592A"/>
    <w:rsid w:val="7A467571"/>
    <w:rsid w:val="7A7A32B9"/>
    <w:rsid w:val="7A7D35B8"/>
    <w:rsid w:val="7AA94A8B"/>
    <w:rsid w:val="7AD96D46"/>
    <w:rsid w:val="7AE4796F"/>
    <w:rsid w:val="7B157E22"/>
    <w:rsid w:val="7B931C78"/>
    <w:rsid w:val="7BAE755A"/>
    <w:rsid w:val="7C1132AA"/>
    <w:rsid w:val="7C134E6A"/>
    <w:rsid w:val="7CC25197"/>
    <w:rsid w:val="7CC8456C"/>
    <w:rsid w:val="7D2A586F"/>
    <w:rsid w:val="7D3715D6"/>
    <w:rsid w:val="7D42292F"/>
    <w:rsid w:val="7D4274B2"/>
    <w:rsid w:val="7D584F27"/>
    <w:rsid w:val="7D5D078F"/>
    <w:rsid w:val="7DD744D5"/>
    <w:rsid w:val="7E0F76C2"/>
    <w:rsid w:val="7E1C0C3C"/>
    <w:rsid w:val="7E1C5F55"/>
    <w:rsid w:val="7E3A6BC7"/>
    <w:rsid w:val="7E4D7EC3"/>
    <w:rsid w:val="7E500013"/>
    <w:rsid w:val="7E68119A"/>
    <w:rsid w:val="7EC26936"/>
    <w:rsid w:val="7EC64275"/>
    <w:rsid w:val="7EDD6BD0"/>
    <w:rsid w:val="7F4D6FC8"/>
    <w:rsid w:val="7F640368"/>
    <w:rsid w:val="7F7F6FBA"/>
    <w:rsid w:val="7FA7600E"/>
    <w:rsid w:val="7FED4A4C"/>
    <w:rsid w:val="EF7F0533"/>
    <w:rsid w:val="F7FB9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2"/>
    <w:qFormat/>
    <w:uiPriority w:val="0"/>
    <w:pPr>
      <w:keepNext/>
      <w:keepLines/>
      <w:spacing w:before="50" w:beforeLines="50" w:after="50" w:afterLines="50" w:line="360" w:lineRule="auto"/>
      <w:jc w:val="center"/>
      <w:outlineLvl w:val="0"/>
    </w:pPr>
    <w:rPr>
      <w:rFonts w:ascii="黑体" w:hAnsi="黑体" w:eastAsia="黑体" w:cs="Arial Narrow"/>
      <w:b/>
      <w:bCs/>
      <w:kern w:val="44"/>
      <w:sz w:val="24"/>
      <w:szCs w:val="32"/>
    </w:rPr>
  </w:style>
  <w:style w:type="paragraph" w:styleId="5">
    <w:name w:val="heading 2"/>
    <w:basedOn w:val="1"/>
    <w:next w:val="1"/>
    <w:unhideWhenUsed/>
    <w:qFormat/>
    <w:uiPriority w:val="0"/>
    <w:pPr>
      <w:spacing w:line="360" w:lineRule="auto"/>
      <w:jc w:val="left"/>
      <w:outlineLvl w:val="1"/>
    </w:pPr>
    <w:rPr>
      <w:rFonts w:hint="eastAsia" w:ascii="宋体" w:hAnsi="宋体" w:cs="Times New Roman"/>
      <w:b/>
      <w:bCs/>
      <w:kern w:val="0"/>
      <w:sz w:val="28"/>
      <w:szCs w:val="36"/>
    </w:rPr>
  </w:style>
  <w:style w:type="paragraph" w:styleId="6">
    <w:name w:val="heading 3"/>
    <w:basedOn w:val="1"/>
    <w:next w:val="1"/>
    <w:unhideWhenUsed/>
    <w:qFormat/>
    <w:uiPriority w:val="0"/>
    <w:pPr>
      <w:jc w:val="left"/>
      <w:outlineLvl w:val="2"/>
    </w:pPr>
    <w:rPr>
      <w:rFonts w:hint="eastAsia" w:ascii="宋体" w:hAnsi="宋体" w:eastAsia="宋体" w:cs="Times New Roman"/>
      <w:b/>
      <w:bCs/>
      <w:kern w:val="0"/>
      <w:sz w:val="27"/>
      <w:szCs w:val="27"/>
    </w:rPr>
  </w:style>
  <w:style w:type="paragraph" w:styleId="7">
    <w:name w:val="heading 4"/>
    <w:basedOn w:val="1"/>
    <w:next w:val="1"/>
    <w:link w:val="9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8">
    <w:name w:val="caption"/>
    <w:basedOn w:val="1"/>
    <w:next w:val="1"/>
    <w:qFormat/>
    <w:uiPriority w:val="0"/>
    <w:rPr>
      <w:rFonts w:ascii="Times New Roman" w:hAnsi="Times New Roman" w:eastAsia="黑体" w:cs="Arial Narrow"/>
    </w:rPr>
  </w:style>
  <w:style w:type="paragraph" w:styleId="9">
    <w:name w:val="annotation text"/>
    <w:basedOn w:val="1"/>
    <w:link w:val="85"/>
    <w:unhideWhenUsed/>
    <w:qFormat/>
    <w:uiPriority w:val="99"/>
    <w:pPr>
      <w:spacing w:line="240" w:lineRule="atLeast"/>
      <w:ind w:firstLine="200" w:firstLineChars="200"/>
      <w:jc w:val="left"/>
    </w:pPr>
    <w:rPr>
      <w:rFonts w:ascii="Times New Roman" w:hAnsi="Times New Roman" w:eastAsia="宋体" w:cs="Times New Roman"/>
      <w:kern w:val="0"/>
      <w:sz w:val="20"/>
      <w:szCs w:val="20"/>
    </w:rPr>
  </w:style>
  <w:style w:type="paragraph" w:styleId="10">
    <w:name w:val="Body Text"/>
    <w:basedOn w:val="1"/>
    <w:qFormat/>
    <w:uiPriority w:val="99"/>
    <w:rPr>
      <w:sz w:val="18"/>
    </w:rPr>
  </w:style>
  <w:style w:type="paragraph" w:styleId="11">
    <w:name w:val="Balloon Text"/>
    <w:basedOn w:val="1"/>
    <w:link w:val="92"/>
    <w:qFormat/>
    <w:uiPriority w:val="0"/>
    <w:rPr>
      <w:sz w:val="18"/>
      <w:szCs w:val="18"/>
    </w:rPr>
  </w:style>
  <w:style w:type="paragraph" w:styleId="12">
    <w:name w:val="footer"/>
    <w:basedOn w:val="1"/>
    <w:link w:val="83"/>
    <w:qFormat/>
    <w:uiPriority w:val="99"/>
    <w:pPr>
      <w:tabs>
        <w:tab w:val="center" w:pos="4153"/>
        <w:tab w:val="right" w:pos="8306"/>
      </w:tabs>
      <w:snapToGrid w:val="0"/>
      <w:jc w:val="left"/>
    </w:pPr>
    <w:rPr>
      <w:sz w:val="18"/>
      <w:szCs w:val="18"/>
    </w:rPr>
  </w:style>
  <w:style w:type="paragraph" w:styleId="13">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87"/>
    <w:qFormat/>
    <w:uiPriority w:val="0"/>
    <w:pPr>
      <w:snapToGrid w:val="0"/>
      <w:jc w:val="left"/>
    </w:pPr>
    <w:rPr>
      <w:sz w:val="18"/>
    </w:rPr>
  </w:style>
  <w:style w:type="paragraph" w:styleId="15">
    <w:name w:val="Normal (Web)"/>
    <w:basedOn w:val="1"/>
    <w:qFormat/>
    <w:uiPriority w:val="99"/>
    <w:pPr>
      <w:spacing w:beforeAutospacing="1" w:afterAutospacing="1"/>
      <w:jc w:val="left"/>
    </w:pPr>
    <w:rPr>
      <w:rFonts w:cs="Times New Roman"/>
      <w:kern w:val="0"/>
      <w:sz w:val="24"/>
    </w:rPr>
  </w:style>
  <w:style w:type="paragraph" w:styleId="16">
    <w:name w:val="annotation subject"/>
    <w:basedOn w:val="9"/>
    <w:next w:val="9"/>
    <w:link w:val="86"/>
    <w:qFormat/>
    <w:uiPriority w:val="0"/>
    <w:pPr>
      <w:spacing w:line="240" w:lineRule="auto"/>
      <w:ind w:firstLine="0" w:firstLineChars="0"/>
    </w:pPr>
    <w:rPr>
      <w:rFonts w:asciiTheme="minorHAnsi" w:hAnsiTheme="minorHAnsi" w:eastAsiaTheme="minorEastAsia" w:cstheme="minorBidi"/>
      <w:b/>
      <w:bCs/>
      <w:kern w:val="2"/>
      <w:sz w:val="21"/>
      <w:szCs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FollowedHyperlink"/>
    <w:basedOn w:val="19"/>
    <w:qFormat/>
    <w:uiPriority w:val="0"/>
    <w:rPr>
      <w:color w:val="800080"/>
      <w:u w:val="none"/>
    </w:rPr>
  </w:style>
  <w:style w:type="character" w:styleId="22">
    <w:name w:val="Emphasis"/>
    <w:basedOn w:val="19"/>
    <w:qFormat/>
    <w:uiPriority w:val="20"/>
  </w:style>
  <w:style w:type="character" w:styleId="23">
    <w:name w:val="HTML Definition"/>
    <w:basedOn w:val="19"/>
    <w:qFormat/>
    <w:uiPriority w:val="0"/>
  </w:style>
  <w:style w:type="character" w:styleId="24">
    <w:name w:val="HTML Variable"/>
    <w:basedOn w:val="19"/>
    <w:qFormat/>
    <w:uiPriority w:val="0"/>
  </w:style>
  <w:style w:type="character" w:styleId="25">
    <w:name w:val="Hyperlink"/>
    <w:basedOn w:val="19"/>
    <w:unhideWhenUsed/>
    <w:qFormat/>
    <w:uiPriority w:val="99"/>
    <w:rPr>
      <w:color w:val="000000"/>
      <w:u w:val="none"/>
    </w:rPr>
  </w:style>
  <w:style w:type="character" w:styleId="26">
    <w:name w:val="HTML Code"/>
    <w:basedOn w:val="19"/>
    <w:qFormat/>
    <w:uiPriority w:val="0"/>
    <w:rPr>
      <w:rFonts w:hint="default" w:ascii="monospace" w:hAnsi="monospace" w:eastAsia="monospace" w:cs="monospace"/>
      <w:sz w:val="21"/>
      <w:szCs w:val="21"/>
    </w:rPr>
  </w:style>
  <w:style w:type="character" w:styleId="27">
    <w:name w:val="annotation reference"/>
    <w:basedOn w:val="19"/>
    <w:qFormat/>
    <w:uiPriority w:val="0"/>
    <w:rPr>
      <w:sz w:val="21"/>
      <w:szCs w:val="21"/>
    </w:rPr>
  </w:style>
  <w:style w:type="character" w:styleId="28">
    <w:name w:val="HTML Cite"/>
    <w:basedOn w:val="19"/>
    <w:qFormat/>
    <w:uiPriority w:val="0"/>
    <w:rPr>
      <w:color w:val="008000"/>
      <w:sz w:val="14"/>
      <w:szCs w:val="14"/>
    </w:rPr>
  </w:style>
  <w:style w:type="character" w:styleId="29">
    <w:name w:val="footnote reference"/>
    <w:basedOn w:val="19"/>
    <w:qFormat/>
    <w:uiPriority w:val="0"/>
    <w:rPr>
      <w:rFonts w:ascii="Calibri" w:hAnsi="Calibri" w:eastAsia="宋体"/>
      <w:vertAlign w:val="superscript"/>
    </w:rPr>
  </w:style>
  <w:style w:type="character" w:styleId="30">
    <w:name w:val="HTML Keyboard"/>
    <w:basedOn w:val="19"/>
    <w:qFormat/>
    <w:uiPriority w:val="0"/>
    <w:rPr>
      <w:rFonts w:ascii="monospace" w:hAnsi="monospace" w:eastAsia="monospace" w:cs="monospace"/>
      <w:sz w:val="21"/>
      <w:szCs w:val="21"/>
    </w:rPr>
  </w:style>
  <w:style w:type="character" w:styleId="31">
    <w:name w:val="HTML Sample"/>
    <w:basedOn w:val="19"/>
    <w:qFormat/>
    <w:uiPriority w:val="0"/>
    <w:rPr>
      <w:rFonts w:hint="default" w:ascii="monospace" w:hAnsi="monospace" w:eastAsia="monospace" w:cs="monospace"/>
      <w:sz w:val="21"/>
      <w:szCs w:val="21"/>
    </w:rPr>
  </w:style>
  <w:style w:type="character" w:customStyle="1" w:styleId="32">
    <w:name w:val="标题 1 字符"/>
    <w:basedOn w:val="19"/>
    <w:link w:val="4"/>
    <w:qFormat/>
    <w:uiPriority w:val="0"/>
    <w:rPr>
      <w:rFonts w:ascii="黑体" w:hAnsi="黑体" w:eastAsia="黑体" w:cs="Arial Narrow"/>
      <w:b/>
      <w:bCs/>
      <w:kern w:val="44"/>
      <w:sz w:val="24"/>
      <w:szCs w:val="32"/>
    </w:rPr>
  </w:style>
  <w:style w:type="character" w:customStyle="1" w:styleId="33">
    <w:name w:val="closeeye"/>
    <w:basedOn w:val="19"/>
    <w:qFormat/>
    <w:uiPriority w:val="0"/>
  </w:style>
  <w:style w:type="character" w:customStyle="1" w:styleId="34">
    <w:name w:val="openeye"/>
    <w:basedOn w:val="19"/>
    <w:qFormat/>
    <w:uiPriority w:val="0"/>
  </w:style>
  <w:style w:type="character" w:customStyle="1" w:styleId="35">
    <w:name w:val="remaintime"/>
    <w:basedOn w:val="19"/>
    <w:qFormat/>
    <w:uiPriority w:val="0"/>
    <w:rPr>
      <w:color w:val="000000"/>
      <w:shd w:val="clear" w:color="auto" w:fill="CACACA"/>
    </w:rPr>
  </w:style>
  <w:style w:type="character" w:customStyle="1" w:styleId="36">
    <w:name w:val="seepass"/>
    <w:basedOn w:val="19"/>
    <w:qFormat/>
    <w:uiPriority w:val="0"/>
  </w:style>
  <w:style w:type="character" w:customStyle="1" w:styleId="37">
    <w:name w:val="on"/>
    <w:basedOn w:val="19"/>
    <w:qFormat/>
    <w:uiPriority w:val="0"/>
    <w:rPr>
      <w:color w:val="FFFFFF"/>
      <w:bdr w:val="single" w:color="C9100E" w:sz="4" w:space="0"/>
      <w:shd w:val="clear" w:color="auto" w:fill="C9100E"/>
    </w:rPr>
  </w:style>
  <w:style w:type="character" w:customStyle="1" w:styleId="38">
    <w:name w:val="eyespan"/>
    <w:basedOn w:val="19"/>
    <w:qFormat/>
    <w:uiPriority w:val="0"/>
  </w:style>
  <w:style w:type="character" w:customStyle="1" w:styleId="39">
    <w:name w:val="hidepass"/>
    <w:basedOn w:val="19"/>
    <w:qFormat/>
    <w:uiPriority w:val="0"/>
  </w:style>
  <w:style w:type="character" w:customStyle="1" w:styleId="40">
    <w:name w:val="hover18"/>
    <w:basedOn w:val="19"/>
    <w:qFormat/>
    <w:uiPriority w:val="0"/>
    <w:rPr>
      <w:color w:val="FFFFFF"/>
      <w:shd w:val="clear" w:color="auto" w:fill="237EC7"/>
    </w:rPr>
  </w:style>
  <w:style w:type="character" w:customStyle="1" w:styleId="41">
    <w:name w:val="hover19"/>
    <w:basedOn w:val="19"/>
    <w:qFormat/>
    <w:uiPriority w:val="0"/>
    <w:rPr>
      <w:color w:val="FFFFFF"/>
      <w:bdr w:val="single" w:color="C9100E" w:sz="4" w:space="0"/>
      <w:shd w:val="clear" w:color="auto" w:fill="C9100E"/>
    </w:rPr>
  </w:style>
  <w:style w:type="character" w:customStyle="1" w:styleId="42">
    <w:name w:val="first-child"/>
    <w:basedOn w:val="19"/>
    <w:qFormat/>
    <w:uiPriority w:val="0"/>
  </w:style>
  <w:style w:type="character" w:customStyle="1" w:styleId="43">
    <w:name w:val="hover47"/>
    <w:basedOn w:val="19"/>
    <w:qFormat/>
    <w:uiPriority w:val="0"/>
    <w:rPr>
      <w:shd w:val="clear" w:color="auto" w:fill="1D50A2"/>
    </w:rPr>
  </w:style>
  <w:style w:type="character" w:customStyle="1" w:styleId="44">
    <w:name w:val="hover48"/>
    <w:basedOn w:val="19"/>
    <w:qFormat/>
    <w:uiPriority w:val="0"/>
    <w:rPr>
      <w:color w:val="1D50A2"/>
    </w:rPr>
  </w:style>
  <w:style w:type="character" w:customStyle="1" w:styleId="45">
    <w:name w:val="mip-carousel-current-indicator"/>
    <w:basedOn w:val="19"/>
    <w:qFormat/>
    <w:uiPriority w:val="0"/>
    <w:rPr>
      <w:shd w:val="clear" w:color="auto" w:fill="FF0000"/>
    </w:rPr>
  </w:style>
  <w:style w:type="character" w:customStyle="1" w:styleId="46">
    <w:name w:val="hover24"/>
    <w:basedOn w:val="19"/>
    <w:qFormat/>
    <w:uiPriority w:val="0"/>
    <w:rPr>
      <w:color w:val="315EFB"/>
    </w:rPr>
  </w:style>
  <w:style w:type="character" w:customStyle="1" w:styleId="47">
    <w:name w:val="hover25"/>
    <w:basedOn w:val="19"/>
    <w:qFormat/>
    <w:uiPriority w:val="0"/>
  </w:style>
  <w:style w:type="character" w:customStyle="1" w:styleId="48">
    <w:name w:val="c-icon28"/>
    <w:basedOn w:val="19"/>
    <w:qFormat/>
    <w:uiPriority w:val="0"/>
  </w:style>
  <w:style w:type="character" w:customStyle="1" w:styleId="49">
    <w:name w:val="pchide"/>
    <w:basedOn w:val="19"/>
    <w:qFormat/>
    <w:uiPriority w:val="0"/>
    <w:rPr>
      <w:color w:val="999999"/>
    </w:rPr>
  </w:style>
  <w:style w:type="character" w:customStyle="1" w:styleId="50">
    <w:name w:val="cur"/>
    <w:basedOn w:val="19"/>
    <w:qFormat/>
    <w:uiPriority w:val="0"/>
    <w:rPr>
      <w:color w:val="C40001"/>
    </w:rPr>
  </w:style>
  <w:style w:type="character" w:customStyle="1" w:styleId="51">
    <w:name w:val="cur1"/>
    <w:basedOn w:val="19"/>
    <w:qFormat/>
    <w:uiPriority w:val="0"/>
    <w:rPr>
      <w:color w:val="C40001"/>
    </w:rPr>
  </w:style>
  <w:style w:type="character" w:customStyle="1" w:styleId="52">
    <w:name w:val="zhankai"/>
    <w:basedOn w:val="19"/>
    <w:qFormat/>
    <w:uiPriority w:val="0"/>
  </w:style>
  <w:style w:type="character" w:customStyle="1" w:styleId="53">
    <w:name w:val="p90"/>
    <w:basedOn w:val="19"/>
    <w:qFormat/>
    <w:uiPriority w:val="0"/>
  </w:style>
  <w:style w:type="character" w:customStyle="1" w:styleId="54">
    <w:name w:val="last-child"/>
    <w:basedOn w:val="19"/>
    <w:qFormat/>
    <w:uiPriority w:val="0"/>
  </w:style>
  <w:style w:type="character" w:customStyle="1" w:styleId="55">
    <w:name w:val="last-child1"/>
    <w:basedOn w:val="19"/>
    <w:qFormat/>
    <w:uiPriority w:val="0"/>
  </w:style>
  <w:style w:type="character" w:customStyle="1" w:styleId="56">
    <w:name w:val="hover10"/>
    <w:basedOn w:val="19"/>
    <w:qFormat/>
    <w:uiPriority w:val="0"/>
    <w:rPr>
      <w:color w:val="C40001"/>
    </w:rPr>
  </w:style>
  <w:style w:type="character" w:customStyle="1" w:styleId="57">
    <w:name w:val="index-module_accountauthentication_3bwix"/>
    <w:basedOn w:val="19"/>
    <w:qFormat/>
    <w:uiPriority w:val="0"/>
  </w:style>
  <w:style w:type="character" w:customStyle="1" w:styleId="58">
    <w:name w:val="m01"/>
    <w:basedOn w:val="19"/>
    <w:qFormat/>
    <w:uiPriority w:val="0"/>
  </w:style>
  <w:style w:type="character" w:customStyle="1" w:styleId="59">
    <w:name w:val="m011"/>
    <w:basedOn w:val="19"/>
    <w:qFormat/>
    <w:uiPriority w:val="0"/>
  </w:style>
  <w:style w:type="character" w:customStyle="1" w:styleId="60">
    <w:name w:val="name"/>
    <w:basedOn w:val="19"/>
    <w:qFormat/>
    <w:uiPriority w:val="0"/>
    <w:rPr>
      <w:color w:val="6A6A6A"/>
      <w:u w:val="single"/>
    </w:rPr>
  </w:style>
  <w:style w:type="character" w:customStyle="1" w:styleId="61">
    <w:name w:val="more4"/>
    <w:basedOn w:val="19"/>
    <w:qFormat/>
    <w:uiPriority w:val="0"/>
    <w:rPr>
      <w:color w:val="666666"/>
      <w:sz w:val="14"/>
      <w:szCs w:val="14"/>
    </w:rPr>
  </w:style>
  <w:style w:type="character" w:customStyle="1" w:styleId="62">
    <w:name w:val="dates"/>
    <w:basedOn w:val="19"/>
    <w:qFormat/>
    <w:uiPriority w:val="0"/>
  </w:style>
  <w:style w:type="character" w:customStyle="1" w:styleId="63">
    <w:name w:val="bg02"/>
    <w:basedOn w:val="19"/>
    <w:qFormat/>
    <w:uiPriority w:val="0"/>
  </w:style>
  <w:style w:type="character" w:customStyle="1" w:styleId="64">
    <w:name w:val="tabg"/>
    <w:basedOn w:val="19"/>
    <w:qFormat/>
    <w:uiPriority w:val="0"/>
    <w:rPr>
      <w:color w:val="FFFFFF"/>
      <w:sz w:val="21"/>
      <w:szCs w:val="21"/>
    </w:rPr>
  </w:style>
  <w:style w:type="character" w:customStyle="1" w:styleId="65">
    <w:name w:val="bg01"/>
    <w:basedOn w:val="19"/>
    <w:qFormat/>
    <w:uiPriority w:val="0"/>
  </w:style>
  <w:style w:type="character" w:customStyle="1" w:styleId="66">
    <w:name w:val="font2"/>
    <w:basedOn w:val="19"/>
    <w:qFormat/>
    <w:uiPriority w:val="0"/>
  </w:style>
  <w:style w:type="character" w:customStyle="1" w:styleId="67">
    <w:name w:val="font3"/>
    <w:basedOn w:val="19"/>
    <w:qFormat/>
    <w:uiPriority w:val="0"/>
  </w:style>
  <w:style w:type="character" w:customStyle="1" w:styleId="68">
    <w:name w:val="laypage_curr"/>
    <w:basedOn w:val="19"/>
    <w:qFormat/>
    <w:uiPriority w:val="0"/>
    <w:rPr>
      <w:color w:val="FFFDF4"/>
      <w:shd w:val="clear" w:color="auto" w:fill="0B67A6"/>
    </w:rPr>
  </w:style>
  <w:style w:type="character" w:customStyle="1" w:styleId="69">
    <w:name w:val="place"/>
    <w:basedOn w:val="19"/>
    <w:qFormat/>
    <w:uiPriority w:val="0"/>
  </w:style>
  <w:style w:type="character" w:customStyle="1" w:styleId="70">
    <w:name w:val="place1"/>
    <w:basedOn w:val="19"/>
    <w:qFormat/>
    <w:uiPriority w:val="0"/>
  </w:style>
  <w:style w:type="character" w:customStyle="1" w:styleId="71">
    <w:name w:val="place2"/>
    <w:basedOn w:val="19"/>
    <w:qFormat/>
    <w:uiPriority w:val="0"/>
  </w:style>
  <w:style w:type="character" w:customStyle="1" w:styleId="72">
    <w:name w:val="place3"/>
    <w:basedOn w:val="19"/>
    <w:qFormat/>
    <w:uiPriority w:val="0"/>
    <w:rPr>
      <w:rFonts w:ascii="微软雅黑" w:hAnsi="微软雅黑" w:eastAsia="微软雅黑" w:cs="微软雅黑"/>
      <w:color w:val="888888"/>
      <w:sz w:val="20"/>
      <w:szCs w:val="20"/>
    </w:rPr>
  </w:style>
  <w:style w:type="character" w:customStyle="1" w:styleId="73">
    <w:name w:val="noline"/>
    <w:basedOn w:val="19"/>
    <w:qFormat/>
    <w:uiPriority w:val="0"/>
  </w:style>
  <w:style w:type="character" w:customStyle="1" w:styleId="74">
    <w:name w:val="font"/>
    <w:basedOn w:val="19"/>
    <w:qFormat/>
    <w:uiPriority w:val="0"/>
  </w:style>
  <w:style w:type="character" w:customStyle="1" w:styleId="75">
    <w:name w:val="font1"/>
    <w:basedOn w:val="19"/>
    <w:qFormat/>
    <w:uiPriority w:val="0"/>
  </w:style>
  <w:style w:type="character" w:customStyle="1" w:styleId="76">
    <w:name w:val="gwds_nopic"/>
    <w:basedOn w:val="19"/>
    <w:qFormat/>
    <w:uiPriority w:val="0"/>
  </w:style>
  <w:style w:type="character" w:customStyle="1" w:styleId="77">
    <w:name w:val="gwds_nopic1"/>
    <w:basedOn w:val="19"/>
    <w:qFormat/>
    <w:uiPriority w:val="0"/>
  </w:style>
  <w:style w:type="character" w:customStyle="1" w:styleId="78">
    <w:name w:val="gwds_nopic2"/>
    <w:basedOn w:val="19"/>
    <w:qFormat/>
    <w:uiPriority w:val="0"/>
  </w:style>
  <w:style w:type="character" w:customStyle="1" w:styleId="79">
    <w:name w:val="hover20"/>
    <w:basedOn w:val="19"/>
    <w:qFormat/>
    <w:uiPriority w:val="0"/>
    <w:rPr>
      <w:color w:val="015293"/>
    </w:rPr>
  </w:style>
  <w:style w:type="paragraph" w:customStyle="1" w:styleId="80">
    <w:name w:val="图标题头"/>
    <w:qFormat/>
    <w:uiPriority w:val="0"/>
    <w:pPr>
      <w:spacing w:line="360" w:lineRule="auto"/>
      <w:ind w:firstLine="360"/>
      <w:jc w:val="center"/>
    </w:pPr>
    <w:rPr>
      <w:rFonts w:ascii="Times New Roman" w:hAnsi="Times New Roman" w:cs="Times New Roman" w:eastAsiaTheme="minorEastAsia"/>
      <w:b/>
      <w:bCs/>
      <w:sz w:val="18"/>
      <w:szCs w:val="18"/>
      <w:lang w:val="en-US" w:eastAsia="zh-CN" w:bidi="ar-SA"/>
    </w:rPr>
  </w:style>
  <w:style w:type="paragraph" w:customStyle="1" w:styleId="81">
    <w:name w:val="引文"/>
    <w:basedOn w:val="1"/>
    <w:qFormat/>
    <w:uiPriority w:val="0"/>
    <w:pPr>
      <w:spacing w:line="288" w:lineRule="auto"/>
      <w:ind w:left="200" w:hanging="200" w:hangingChars="200"/>
    </w:pPr>
  </w:style>
  <w:style w:type="character" w:customStyle="1" w:styleId="82">
    <w:name w:val="页眉 字符"/>
    <w:basedOn w:val="19"/>
    <w:link w:val="13"/>
    <w:qFormat/>
    <w:uiPriority w:val="0"/>
    <w:rPr>
      <w:rFonts w:asciiTheme="minorHAnsi" w:hAnsiTheme="minorHAnsi" w:eastAsiaTheme="minorEastAsia" w:cstheme="minorBidi"/>
      <w:kern w:val="2"/>
      <w:sz w:val="18"/>
      <w:szCs w:val="18"/>
    </w:rPr>
  </w:style>
  <w:style w:type="character" w:customStyle="1" w:styleId="83">
    <w:name w:val="页脚 字符"/>
    <w:basedOn w:val="19"/>
    <w:link w:val="12"/>
    <w:qFormat/>
    <w:uiPriority w:val="99"/>
    <w:rPr>
      <w:rFonts w:asciiTheme="minorHAnsi" w:hAnsiTheme="minorHAnsi" w:eastAsiaTheme="minorEastAsia" w:cstheme="minorBidi"/>
      <w:kern w:val="2"/>
      <w:sz w:val="18"/>
      <w:szCs w:val="18"/>
    </w:rPr>
  </w:style>
  <w:style w:type="paragraph" w:customStyle="1" w:styleId="8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5">
    <w:name w:val="批注文字 字符"/>
    <w:basedOn w:val="19"/>
    <w:link w:val="9"/>
    <w:qFormat/>
    <w:uiPriority w:val="99"/>
  </w:style>
  <w:style w:type="character" w:customStyle="1" w:styleId="86">
    <w:name w:val="批注主题 字符"/>
    <w:basedOn w:val="85"/>
    <w:link w:val="16"/>
    <w:qFormat/>
    <w:uiPriority w:val="0"/>
    <w:rPr>
      <w:rFonts w:asciiTheme="minorHAnsi" w:hAnsiTheme="minorHAnsi" w:eastAsiaTheme="minorEastAsia" w:cstheme="minorBidi"/>
      <w:b/>
      <w:bCs/>
      <w:kern w:val="2"/>
      <w:sz w:val="21"/>
      <w:szCs w:val="24"/>
    </w:rPr>
  </w:style>
  <w:style w:type="character" w:customStyle="1" w:styleId="87">
    <w:name w:val="脚注文本 字符"/>
    <w:basedOn w:val="19"/>
    <w:link w:val="14"/>
    <w:qFormat/>
    <w:uiPriority w:val="0"/>
    <w:rPr>
      <w:rFonts w:asciiTheme="minorHAnsi" w:hAnsiTheme="minorHAnsi" w:eastAsiaTheme="minorEastAsia" w:cstheme="minorBidi"/>
      <w:kern w:val="2"/>
      <w:sz w:val="18"/>
      <w:szCs w:val="24"/>
    </w:rPr>
  </w:style>
  <w:style w:type="paragraph" w:customStyle="1" w:styleId="88">
    <w:name w:val="列表段落1"/>
    <w:basedOn w:val="1"/>
    <w:qFormat/>
    <w:uiPriority w:val="99"/>
    <w:pPr>
      <w:ind w:firstLine="420" w:firstLineChars="200"/>
    </w:pPr>
  </w:style>
  <w:style w:type="character" w:customStyle="1" w:styleId="89">
    <w:name w:val="font21"/>
    <w:basedOn w:val="19"/>
    <w:qFormat/>
    <w:uiPriority w:val="0"/>
    <w:rPr>
      <w:rFonts w:hint="eastAsia" w:ascii="宋体" w:hAnsi="宋体" w:eastAsia="宋体" w:cs="宋体"/>
      <w:color w:val="000000"/>
      <w:sz w:val="18"/>
      <w:szCs w:val="18"/>
      <w:u w:val="none"/>
    </w:rPr>
  </w:style>
  <w:style w:type="character" w:customStyle="1" w:styleId="90">
    <w:name w:val="MTEquationSection"/>
    <w:basedOn w:val="19"/>
    <w:qFormat/>
    <w:uiPriority w:val="0"/>
    <w:rPr>
      <w:rFonts w:ascii="黑体" w:hAnsi="黑体" w:eastAsia="黑体"/>
      <w:vanish/>
      <w:color w:val="FF0000"/>
    </w:rPr>
  </w:style>
  <w:style w:type="character" w:customStyle="1" w:styleId="91">
    <w:name w:val="dt-editor__word"/>
    <w:qFormat/>
    <w:uiPriority w:val="0"/>
  </w:style>
  <w:style w:type="character" w:customStyle="1" w:styleId="92">
    <w:name w:val="批注框文本 字符"/>
    <w:basedOn w:val="19"/>
    <w:link w:val="11"/>
    <w:qFormat/>
    <w:uiPriority w:val="0"/>
    <w:rPr>
      <w:kern w:val="2"/>
      <w:sz w:val="18"/>
      <w:szCs w:val="18"/>
    </w:rPr>
  </w:style>
  <w:style w:type="paragraph" w:customStyle="1" w:styleId="93">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4">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95">
    <w:name w:val="标题 4 字符"/>
    <w:basedOn w:val="19"/>
    <w:link w:val="7"/>
    <w:semiHidden/>
    <w:qFormat/>
    <w:uiPriority w:val="0"/>
    <w:rPr>
      <w:rFonts w:asciiTheme="majorHAnsi" w:hAnsiTheme="majorHAnsi" w:eastAsiaTheme="majorEastAsia" w:cstheme="majorBidi"/>
      <w:b/>
      <w:bCs/>
      <w:kern w:val="2"/>
      <w:sz w:val="28"/>
      <w:szCs w:val="28"/>
    </w:rPr>
  </w:style>
  <w:style w:type="character" w:customStyle="1" w:styleId="96">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67C11-E61B-4EA1-AC76-CEE02C3DCC9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987</Words>
  <Characters>1142</Characters>
  <Lines>67</Lines>
  <Paragraphs>19</Paragraphs>
  <TotalTime>45</TotalTime>
  <ScaleCrop>false</ScaleCrop>
  <LinksUpToDate>false</LinksUpToDate>
  <CharactersWithSpaces>1171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2023-09-04T07:50:00Z</dcterms:created>
  <dc:creator>jane</dc:creator>
  <cp:lastModifiedBy>Grace</cp:lastModifiedBy>
  <cp:lastPrinted>2022-01-12T16:46:00Z</cp:lastPrinted>
  <dcterms:modified xsi:type="dcterms:W3CDTF">2025-03-13T09:04:21Z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8DC3CE48377C4AB3B813024864A24DF0_13</vt:lpwstr>
  </property>
  <property fmtid="{D5CDD505-2E9C-101B-9397-08002B2CF9AE}" pid="4" name="KSOTemplateDocerSaveRecord">
    <vt:lpwstr>eyJoZGlkIjoiYWMwOGFmODc2OWMxYzhmODE0MDUwYTI1ZDBhMWUzNTkiLCJ1c2VySWQiOiI0ODYyODE1MjIifQ==</vt:lpwstr>
  </property>
</Properties>
</file>